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3" w:rsidRPr="000142AB" w:rsidRDefault="00E77CB3" w:rsidP="000142AB">
      <w:pPr>
        <w:jc w:val="center"/>
        <w:rPr>
          <w:lang w:val="fr-FR"/>
        </w:rPr>
      </w:pPr>
      <w:bookmarkStart w:id="0" w:name="_GoBack"/>
      <w:bookmarkEnd w:id="0"/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E77CB3" w:rsidRPr="000142AB" w:rsidRDefault="00497B6D" w:rsidP="000142AB">
      <w:pPr>
        <w:jc w:val="center"/>
        <w:rPr>
          <w:lang w:val="fr-FR"/>
        </w:rPr>
      </w:pPr>
      <w:r w:rsidRPr="000142AB">
        <w:rPr>
          <w:lang w:val="fr-FR"/>
        </w:rPr>
        <w:t>PREMIÈRE SECTION</w:t>
      </w:r>
    </w:p>
    <w:p w:rsidR="00E77CB3" w:rsidRPr="000142AB" w:rsidRDefault="00E77CB3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E77CB3" w:rsidRPr="000142AB" w:rsidRDefault="00E77CB3" w:rsidP="000142AB">
      <w:pPr>
        <w:jc w:val="center"/>
        <w:rPr>
          <w:b/>
          <w:lang w:val="fr-FR"/>
        </w:rPr>
      </w:pPr>
      <w:bookmarkStart w:id="1" w:name="To"/>
      <w:r w:rsidRPr="000142AB">
        <w:rPr>
          <w:b/>
          <w:lang w:val="fr-FR"/>
        </w:rPr>
        <w:t xml:space="preserve">AFFAIRE </w:t>
      </w:r>
      <w:bookmarkEnd w:id="1"/>
      <w:r w:rsidR="00497B6D" w:rsidRPr="000142AB">
        <w:rPr>
          <w:b/>
          <w:lang w:val="fr-FR"/>
        </w:rPr>
        <w:t>CASA DI CURA VALLE FIORITA S</w:t>
      </w:r>
      <w:r w:rsidR="00A02291" w:rsidRPr="000142AB">
        <w:rPr>
          <w:b/>
          <w:lang w:val="fr-FR"/>
        </w:rPr>
        <w:t>.</w:t>
      </w:r>
      <w:r w:rsidR="00D323B2" w:rsidRPr="000142AB">
        <w:rPr>
          <w:b/>
          <w:lang w:val="fr-FR"/>
        </w:rPr>
        <w:t>R</w:t>
      </w:r>
      <w:r w:rsidR="00A02291" w:rsidRPr="000142AB">
        <w:rPr>
          <w:b/>
          <w:lang w:val="fr-FR"/>
        </w:rPr>
        <w:t>.</w:t>
      </w:r>
      <w:r w:rsidR="00D323B2" w:rsidRPr="000142AB">
        <w:rPr>
          <w:b/>
          <w:lang w:val="fr-FR"/>
        </w:rPr>
        <w:t>L</w:t>
      </w:r>
      <w:r w:rsidR="00A02291" w:rsidRPr="000142AB">
        <w:rPr>
          <w:b/>
          <w:lang w:val="fr-FR"/>
        </w:rPr>
        <w:t>.</w:t>
      </w:r>
      <w:r w:rsidR="00497B6D" w:rsidRPr="000142AB">
        <w:rPr>
          <w:b/>
          <w:lang w:val="fr-FR"/>
        </w:rPr>
        <w:t xml:space="preserve"> c. ITALIE</w:t>
      </w:r>
    </w:p>
    <w:p w:rsidR="00E77CB3" w:rsidRPr="000142AB" w:rsidRDefault="00E77CB3" w:rsidP="000142AB">
      <w:pPr>
        <w:jc w:val="center"/>
        <w:rPr>
          <w:lang w:val="fr-FR"/>
        </w:rPr>
      </w:pPr>
    </w:p>
    <w:p w:rsidR="00D323B2" w:rsidRPr="000142AB" w:rsidRDefault="00E77CB3" w:rsidP="000142AB">
      <w:pPr>
        <w:jc w:val="center"/>
        <w:rPr>
          <w:lang w:val="fr-FR"/>
        </w:rPr>
      </w:pPr>
      <w:r w:rsidRPr="000142AB">
        <w:rPr>
          <w:i/>
          <w:lang w:val="fr-FR"/>
        </w:rPr>
        <w:t>(</w:t>
      </w:r>
      <w:r w:rsidR="00497B6D" w:rsidRPr="000142AB">
        <w:rPr>
          <w:i/>
          <w:lang w:val="fr-FR"/>
        </w:rPr>
        <w:t>Requête n</w:t>
      </w:r>
      <w:r w:rsidR="00497B6D" w:rsidRPr="000142AB">
        <w:rPr>
          <w:i/>
          <w:vertAlign w:val="superscript"/>
          <w:lang w:val="fr-FR"/>
        </w:rPr>
        <w:t>o</w:t>
      </w:r>
      <w:r w:rsidR="00497B6D" w:rsidRPr="000142AB">
        <w:rPr>
          <w:i/>
          <w:lang w:val="fr-FR"/>
        </w:rPr>
        <w:t xml:space="preserve"> 67944/13</w:t>
      </w:r>
      <w:r w:rsidRPr="000142AB">
        <w:rPr>
          <w:i/>
          <w:lang w:val="fr-FR"/>
        </w:rPr>
        <w:t>)</w:t>
      </w: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0142AB" w:rsidRPr="000142AB" w:rsidRDefault="000142AB" w:rsidP="000142AB">
      <w:pPr>
        <w:jc w:val="center"/>
        <w:rPr>
          <w:lang w:val="fr-FR"/>
        </w:rPr>
      </w:pPr>
    </w:p>
    <w:p w:rsidR="000142AB" w:rsidRPr="000142AB" w:rsidRDefault="000142AB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  <w:r w:rsidRPr="000142AB">
        <w:rPr>
          <w:lang w:val="fr-FR"/>
        </w:rPr>
        <w:t>ARRÊT</w:t>
      </w:r>
    </w:p>
    <w:p w:rsidR="00D323B2" w:rsidRPr="000142AB" w:rsidRDefault="00D323B2" w:rsidP="000142AB">
      <w:pPr>
        <w:jc w:val="center"/>
        <w:rPr>
          <w:lang w:val="fr-FR"/>
        </w:rPr>
      </w:pPr>
    </w:p>
    <w:p w:rsidR="000142AB" w:rsidRPr="000142AB" w:rsidRDefault="000142AB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  <w:r w:rsidRPr="000142AB">
        <w:rPr>
          <w:lang w:val="fr-FR"/>
        </w:rPr>
        <w:t>STRASBOURG</w:t>
      </w: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center"/>
        <w:rPr>
          <w:lang w:val="fr-FR"/>
        </w:rPr>
      </w:pPr>
      <w:r w:rsidRPr="000142AB">
        <w:rPr>
          <w:lang w:val="fr-FR"/>
        </w:rPr>
        <w:t>13 décembre 2018</w:t>
      </w:r>
    </w:p>
    <w:p w:rsidR="00D323B2" w:rsidRPr="000142AB" w:rsidRDefault="00D323B2" w:rsidP="000142AB">
      <w:pPr>
        <w:jc w:val="center"/>
        <w:rPr>
          <w:lang w:val="fr-FR"/>
        </w:rPr>
      </w:pPr>
    </w:p>
    <w:p w:rsidR="001D2645" w:rsidRPr="000142AB" w:rsidRDefault="001D2645" w:rsidP="000142AB">
      <w:pPr>
        <w:jc w:val="center"/>
        <w:rPr>
          <w:lang w:val="fr-FR"/>
        </w:rPr>
      </w:pPr>
    </w:p>
    <w:p w:rsidR="001D2645" w:rsidRPr="000142AB" w:rsidRDefault="001D2645" w:rsidP="000142AB">
      <w:pPr>
        <w:jc w:val="center"/>
        <w:rPr>
          <w:lang w:val="fr-FR"/>
        </w:rPr>
      </w:pPr>
    </w:p>
    <w:p w:rsidR="00D323B2" w:rsidRPr="000142AB" w:rsidRDefault="00D323B2" w:rsidP="000142AB">
      <w:pPr>
        <w:jc w:val="left"/>
        <w:rPr>
          <w:i/>
          <w:sz w:val="22"/>
          <w:lang w:val="fr-FR"/>
        </w:rPr>
      </w:pPr>
      <w:r w:rsidRPr="000142AB">
        <w:rPr>
          <w:i/>
          <w:sz w:val="22"/>
          <w:lang w:val="fr-FR"/>
        </w:rPr>
        <w:t>Cet arrêt deviendra définitif dans les conditions définies à l</w:t>
      </w:r>
      <w:r w:rsidR="000142AB" w:rsidRPr="000142AB">
        <w:rPr>
          <w:i/>
          <w:sz w:val="22"/>
          <w:lang w:val="fr-FR"/>
        </w:rPr>
        <w:t>’</w:t>
      </w:r>
      <w:r w:rsidRPr="000142AB">
        <w:rPr>
          <w:i/>
          <w:sz w:val="22"/>
          <w:lang w:val="fr-FR"/>
        </w:rPr>
        <w:t>article 44 § 2 de la Convention. Il peut subir des retouches de forme.</w:t>
      </w:r>
    </w:p>
    <w:p w:rsidR="000142AB" w:rsidRPr="000142AB" w:rsidRDefault="000142AB" w:rsidP="000142AB">
      <w:pPr>
        <w:pStyle w:val="ECHRPara"/>
        <w:tabs>
          <w:tab w:val="center" w:pos="3686"/>
        </w:tabs>
        <w:ind w:firstLine="0"/>
        <w:jc w:val="left"/>
        <w:rPr>
          <w:lang w:val="fr-FR"/>
        </w:rPr>
        <w:sectPr w:rsidR="000142AB" w:rsidRPr="000142AB" w:rsidSect="00D323B2">
          <w:head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0142AB" w:rsidRDefault="00E77CB3" w:rsidP="000142AB">
      <w:pPr>
        <w:pStyle w:val="JuCase"/>
        <w:rPr>
          <w:lang w:val="fr-FR"/>
        </w:rPr>
      </w:pPr>
      <w:r w:rsidRPr="000142AB">
        <w:rPr>
          <w:lang w:val="fr-FR"/>
        </w:rPr>
        <w:lastRenderedPageBreak/>
        <w:t>En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affaire </w:t>
      </w:r>
      <w:r w:rsidR="00497B6D" w:rsidRPr="000142AB">
        <w:rPr>
          <w:lang w:val="fr-FR"/>
        </w:rPr>
        <w:t xml:space="preserve">Casa di Cura Valle Fiorita </w:t>
      </w:r>
      <w:r w:rsidR="00D62E9B" w:rsidRPr="000142AB">
        <w:rPr>
          <w:lang w:val="fr-FR"/>
        </w:rPr>
        <w:t>S</w:t>
      </w:r>
      <w:r w:rsidR="00FB648D" w:rsidRPr="000142AB">
        <w:rPr>
          <w:lang w:val="fr-FR"/>
        </w:rPr>
        <w:t>.</w:t>
      </w:r>
      <w:r w:rsidR="00D62E9B" w:rsidRPr="000142AB">
        <w:rPr>
          <w:lang w:val="fr-FR"/>
        </w:rPr>
        <w:t>r</w:t>
      </w:r>
      <w:r w:rsidR="00FB648D" w:rsidRPr="000142AB">
        <w:rPr>
          <w:lang w:val="fr-FR"/>
        </w:rPr>
        <w:t>.</w:t>
      </w:r>
      <w:r w:rsidR="00D62E9B" w:rsidRPr="000142AB">
        <w:rPr>
          <w:lang w:val="fr-FR"/>
        </w:rPr>
        <w:t>l</w:t>
      </w:r>
      <w:r w:rsidR="00FB648D" w:rsidRPr="000142AB">
        <w:rPr>
          <w:lang w:val="fr-FR"/>
        </w:rPr>
        <w:t>.</w:t>
      </w:r>
      <w:r w:rsidR="00497B6D" w:rsidRPr="000142AB">
        <w:rPr>
          <w:lang w:val="fr-FR"/>
        </w:rPr>
        <w:t xml:space="preserve"> c. Italie</w:t>
      </w:r>
      <w:r w:rsidRPr="000142AB">
        <w:rPr>
          <w:lang w:val="fr-FR"/>
        </w:rPr>
        <w:t>,</w:t>
      </w:r>
    </w:p>
    <w:p w:rsidR="00E77CB3" w:rsidRPr="000142AB" w:rsidRDefault="00E77CB3" w:rsidP="000142AB">
      <w:pPr>
        <w:pStyle w:val="ECHRPara"/>
        <w:rPr>
          <w:lang w:val="fr-FR"/>
        </w:rPr>
      </w:pPr>
      <w:r w:rsidRPr="000142AB">
        <w:rPr>
          <w:lang w:val="fr-FR"/>
        </w:rPr>
        <w:t>La Cour européenne des droits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homme (</w:t>
      </w:r>
      <w:r w:rsidR="00497B6D" w:rsidRPr="000142AB">
        <w:rPr>
          <w:lang w:val="fr-FR"/>
        </w:rPr>
        <w:t>première section</w:t>
      </w:r>
      <w:r w:rsidRPr="000142AB">
        <w:rPr>
          <w:lang w:val="fr-FR"/>
        </w:rPr>
        <w:t xml:space="preserve">), siégeant en </w:t>
      </w:r>
      <w:r w:rsidR="00497B6D" w:rsidRPr="000142AB">
        <w:rPr>
          <w:lang w:val="fr-FR"/>
        </w:rPr>
        <w:t>une chambre composée</w:t>
      </w:r>
      <w:r w:rsidRPr="000142AB">
        <w:rPr>
          <w:lang w:val="fr-FR"/>
        </w:rPr>
        <w:t xml:space="preserve"> de :</w:t>
      </w:r>
    </w:p>
    <w:p w:rsidR="00E77CB3" w:rsidRPr="000142AB" w:rsidRDefault="00EB5332" w:rsidP="000142AB">
      <w:pPr>
        <w:pStyle w:val="ECHRDecisionBody"/>
        <w:rPr>
          <w:lang w:val="fr-FR"/>
        </w:rPr>
      </w:pPr>
      <w:r w:rsidRPr="000142AB">
        <w:rPr>
          <w:lang w:val="fr-FR"/>
        </w:rPr>
        <w:tab/>
        <w:t>Linos-Alexandre Sicilianos,</w:t>
      </w:r>
      <w:r w:rsidRPr="000142AB">
        <w:rPr>
          <w:i/>
          <w:lang w:val="fr-FR"/>
        </w:rPr>
        <w:t xml:space="preserve"> président,</w:t>
      </w:r>
      <w:r w:rsidRPr="000142AB">
        <w:rPr>
          <w:i/>
          <w:lang w:val="fr-FR"/>
        </w:rPr>
        <w:br/>
      </w:r>
      <w:r w:rsidRPr="000142AB">
        <w:rPr>
          <w:lang w:val="fr-FR"/>
        </w:rPr>
        <w:tab/>
        <w:t>Ksenija Turković,</w:t>
      </w:r>
      <w:r w:rsidRPr="000142AB">
        <w:rPr>
          <w:i/>
          <w:lang w:val="fr-FR"/>
        </w:rPr>
        <w:br/>
      </w:r>
      <w:r w:rsidRPr="000142AB">
        <w:rPr>
          <w:lang w:val="fr-FR"/>
        </w:rPr>
        <w:tab/>
        <w:t>Guido Raimondi,</w:t>
      </w:r>
      <w:r w:rsidRPr="000142AB">
        <w:rPr>
          <w:i/>
          <w:lang w:val="fr-FR"/>
        </w:rPr>
        <w:br/>
      </w:r>
      <w:r w:rsidRPr="000142AB">
        <w:rPr>
          <w:lang w:val="fr-FR"/>
        </w:rPr>
        <w:tab/>
        <w:t>Krzysztof Wojtyczek,</w:t>
      </w:r>
      <w:r w:rsidRPr="000142AB">
        <w:rPr>
          <w:i/>
          <w:lang w:val="fr-FR"/>
        </w:rPr>
        <w:br/>
      </w:r>
      <w:r w:rsidRPr="000142AB">
        <w:rPr>
          <w:lang w:val="fr-FR"/>
        </w:rPr>
        <w:tab/>
        <w:t>Armen Harutyunyan,</w:t>
      </w:r>
      <w:r w:rsidRPr="000142AB">
        <w:rPr>
          <w:i/>
          <w:lang w:val="fr-FR"/>
        </w:rPr>
        <w:br/>
      </w:r>
      <w:r w:rsidRPr="000142AB">
        <w:rPr>
          <w:lang w:val="fr-FR"/>
        </w:rPr>
        <w:tab/>
        <w:t>Pauliine Koskelo,</w:t>
      </w:r>
      <w:r w:rsidRPr="000142AB">
        <w:rPr>
          <w:i/>
          <w:lang w:val="fr-FR"/>
        </w:rPr>
        <w:br/>
      </w:r>
      <w:r w:rsidRPr="000142AB">
        <w:rPr>
          <w:lang w:val="fr-FR"/>
        </w:rPr>
        <w:tab/>
        <w:t>Jovan Ilievski,</w:t>
      </w:r>
      <w:r w:rsidRPr="000142AB">
        <w:rPr>
          <w:i/>
          <w:lang w:val="fr-FR"/>
        </w:rPr>
        <w:t xml:space="preserve"> juges,</w:t>
      </w:r>
      <w:r w:rsidR="00E77CB3" w:rsidRPr="000142AB">
        <w:rPr>
          <w:lang w:val="fr-FR"/>
        </w:rPr>
        <w:br/>
        <w:t xml:space="preserve">et de </w:t>
      </w:r>
      <w:r w:rsidR="00497B6D" w:rsidRPr="000142AB">
        <w:rPr>
          <w:lang w:val="fr-FR"/>
        </w:rPr>
        <w:t>Abel Campos</w:t>
      </w:r>
      <w:r w:rsidR="00E77CB3" w:rsidRPr="000142AB">
        <w:rPr>
          <w:lang w:val="fr-FR"/>
        </w:rPr>
        <w:t xml:space="preserve">, </w:t>
      </w:r>
      <w:r w:rsidR="00497B6D" w:rsidRPr="000142AB">
        <w:rPr>
          <w:i/>
          <w:lang w:val="fr-FR"/>
        </w:rPr>
        <w:t>greffier</w:t>
      </w:r>
      <w:r w:rsidR="00497B6D" w:rsidRPr="000142AB">
        <w:rPr>
          <w:iCs/>
          <w:lang w:val="fr-FR"/>
        </w:rPr>
        <w:t xml:space="preserve"> </w:t>
      </w:r>
      <w:r w:rsidR="00497B6D" w:rsidRPr="000142AB">
        <w:rPr>
          <w:i/>
          <w:iCs/>
          <w:lang w:val="fr-FR"/>
        </w:rPr>
        <w:t>d</w:t>
      </w:r>
      <w:r w:rsidR="00497B6D" w:rsidRPr="000142AB">
        <w:rPr>
          <w:i/>
          <w:lang w:val="fr-FR"/>
        </w:rPr>
        <w:t>e section</w:t>
      </w:r>
      <w:r w:rsidR="00E77CB3" w:rsidRPr="000142AB">
        <w:rPr>
          <w:lang w:val="fr-FR"/>
        </w:rPr>
        <w:t>,</w:t>
      </w:r>
    </w:p>
    <w:p w:rsidR="00E77CB3" w:rsidRPr="000142AB" w:rsidRDefault="00E77CB3" w:rsidP="000142AB">
      <w:pPr>
        <w:pStyle w:val="ECHRPara"/>
        <w:rPr>
          <w:lang w:val="fr-FR"/>
        </w:rPr>
      </w:pPr>
      <w:r w:rsidRPr="000142AB">
        <w:rPr>
          <w:lang w:val="fr-FR"/>
        </w:rPr>
        <w:t xml:space="preserve">Après en avoir délibéré en chambre du conseil le </w:t>
      </w:r>
      <w:r w:rsidR="00EB5332" w:rsidRPr="000142AB">
        <w:rPr>
          <w:lang w:val="fr-FR"/>
        </w:rPr>
        <w:t>20 novembre 2018</w:t>
      </w:r>
      <w:r w:rsidRPr="000142AB">
        <w:rPr>
          <w:lang w:val="fr-FR"/>
        </w:rPr>
        <w:t>,</w:t>
      </w:r>
    </w:p>
    <w:p w:rsidR="00E77CB3" w:rsidRPr="000142AB" w:rsidRDefault="00E77CB3" w:rsidP="000142AB">
      <w:pPr>
        <w:pStyle w:val="ECHRPara"/>
        <w:rPr>
          <w:lang w:val="fr-FR"/>
        </w:rPr>
      </w:pPr>
      <w:r w:rsidRPr="000142AB">
        <w:rPr>
          <w:lang w:val="fr-FR"/>
        </w:rPr>
        <w:t>Rend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arrêt que voici, adopté à cette date :</w:t>
      </w:r>
    </w:p>
    <w:p w:rsidR="00E77CB3" w:rsidRPr="000142AB" w:rsidRDefault="00E77CB3" w:rsidP="000142AB">
      <w:pPr>
        <w:pStyle w:val="ECHRTitle1"/>
        <w:rPr>
          <w:lang w:val="fr-FR"/>
        </w:rPr>
      </w:pPr>
      <w:r w:rsidRPr="000142AB">
        <w:rPr>
          <w:lang w:val="fr-FR"/>
        </w:rPr>
        <w:t>PROCÉDURE</w:t>
      </w:r>
    </w:p>
    <w:p w:rsidR="00E77CB3" w:rsidRPr="000142AB" w:rsidRDefault="00B82BEA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E77CB3" w:rsidRPr="000142AB">
        <w:rPr>
          <w:lang w:val="fr-FR"/>
        </w:rPr>
        <w:t>À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origine de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 xml:space="preserve">affaire </w:t>
      </w:r>
      <w:r w:rsidR="00497B6D" w:rsidRPr="000142AB">
        <w:rPr>
          <w:lang w:val="fr-FR"/>
        </w:rPr>
        <w:t>se trouve une requête (n</w:t>
      </w:r>
      <w:r w:rsidR="00497B6D" w:rsidRPr="000142AB">
        <w:rPr>
          <w:vertAlign w:val="superscript"/>
          <w:lang w:val="fr-FR"/>
        </w:rPr>
        <w:t>o</w:t>
      </w:r>
      <w:r w:rsidR="00497B6D" w:rsidRPr="000142AB">
        <w:rPr>
          <w:lang w:val="fr-FR"/>
        </w:rPr>
        <w:t xml:space="preserve"> 67944/13) dirigée</w:t>
      </w:r>
      <w:r w:rsidR="00E77CB3" w:rsidRPr="000142AB">
        <w:rPr>
          <w:lang w:val="fr-FR"/>
        </w:rPr>
        <w:t xml:space="preserve"> contre </w:t>
      </w:r>
      <w:r w:rsidR="00497B6D" w:rsidRPr="000142AB">
        <w:rPr>
          <w:lang w:val="fr-FR"/>
        </w:rPr>
        <w:t>la République italienne</w:t>
      </w:r>
      <w:r w:rsidR="00E77CB3" w:rsidRPr="000142AB">
        <w:rPr>
          <w:lang w:val="fr-FR"/>
        </w:rPr>
        <w:t xml:space="preserve"> et dont </w:t>
      </w:r>
      <w:r w:rsidR="00497B6D" w:rsidRPr="000142AB">
        <w:rPr>
          <w:lang w:val="fr-FR"/>
        </w:rPr>
        <w:t xml:space="preserve">une </w:t>
      </w:r>
      <w:r w:rsidR="00E90034" w:rsidRPr="000142AB">
        <w:rPr>
          <w:lang w:val="fr-FR"/>
        </w:rPr>
        <w:t>société de droit italien, la</w:t>
      </w:r>
      <w:r w:rsidR="00497B6D" w:rsidRPr="000142AB">
        <w:rPr>
          <w:lang w:val="fr-FR"/>
        </w:rPr>
        <w:t xml:space="preserve"> Casa di Cura Valle Fiorita S</w:t>
      </w:r>
      <w:r w:rsidR="005F2772" w:rsidRPr="000142AB">
        <w:rPr>
          <w:lang w:val="fr-FR"/>
        </w:rPr>
        <w:t>.</w:t>
      </w:r>
      <w:r w:rsidR="00497B6D" w:rsidRPr="000142AB">
        <w:rPr>
          <w:lang w:val="fr-FR"/>
        </w:rPr>
        <w:t>r</w:t>
      </w:r>
      <w:r w:rsidR="005F2772" w:rsidRPr="000142AB">
        <w:rPr>
          <w:lang w:val="fr-FR"/>
        </w:rPr>
        <w:t>.</w:t>
      </w:r>
      <w:r w:rsidR="00497B6D" w:rsidRPr="000142AB">
        <w:rPr>
          <w:lang w:val="fr-FR"/>
        </w:rPr>
        <w:t>l</w:t>
      </w:r>
      <w:r w:rsidR="005F2772" w:rsidRPr="000142AB">
        <w:rPr>
          <w:lang w:val="fr-FR"/>
        </w:rPr>
        <w:t>.</w:t>
      </w:r>
      <w:r w:rsidR="00497B6D" w:rsidRPr="000142AB">
        <w:rPr>
          <w:lang w:val="fr-FR"/>
        </w:rPr>
        <w:t xml:space="preserve"> (« la requérante »), a saisi la Cour </w:t>
      </w:r>
      <w:r w:rsidR="00EB0AB4" w:rsidRPr="000142AB">
        <w:rPr>
          <w:lang w:val="fr-FR"/>
        </w:rPr>
        <w:t>le 21 </w:t>
      </w:r>
      <w:r w:rsidR="00497B6D" w:rsidRPr="000142AB">
        <w:rPr>
          <w:lang w:val="fr-FR"/>
        </w:rPr>
        <w:t>octobre</w:t>
      </w:r>
      <w:r w:rsidR="000142AB" w:rsidRPr="000142AB">
        <w:rPr>
          <w:lang w:val="fr-FR"/>
        </w:rPr>
        <w:t xml:space="preserve"> </w:t>
      </w:r>
      <w:r w:rsidR="00497B6D" w:rsidRPr="000142AB">
        <w:rPr>
          <w:lang w:val="fr-FR"/>
        </w:rPr>
        <w:t>2013</w:t>
      </w:r>
      <w:r w:rsidR="00E77CB3" w:rsidRPr="000142AB">
        <w:rPr>
          <w:lang w:val="fr-FR"/>
        </w:rPr>
        <w:t xml:space="preserve"> en vertu de </w:t>
      </w:r>
      <w:r w:rsidR="00497B6D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497B6D" w:rsidRPr="000142AB">
        <w:rPr>
          <w:lang w:val="fr-FR"/>
        </w:rPr>
        <w:t>article 34</w:t>
      </w:r>
      <w:r w:rsidR="00E77CB3" w:rsidRPr="000142AB">
        <w:rPr>
          <w:lang w:val="fr-FR"/>
        </w:rPr>
        <w:t xml:space="preserve"> de la Convention de sauvegarde des droits de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homme et des libertés fondamentales (« la Convention »).</w:t>
      </w:r>
    </w:p>
    <w:p w:rsidR="00497B6D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Pr="000142AB">
        <w:rPr>
          <w:lang w:val="fr-FR"/>
        </w:rPr>
        <w:t>La requérante a été représentée par M</w:t>
      </w:r>
      <w:r w:rsidRPr="000142AB">
        <w:rPr>
          <w:vertAlign w:val="superscript"/>
          <w:lang w:val="fr-FR"/>
        </w:rPr>
        <w:t>e</w:t>
      </w:r>
      <w:r w:rsidRPr="000142AB">
        <w:rPr>
          <w:lang w:val="fr-FR"/>
        </w:rPr>
        <w:t xml:space="preserve"> N. Paoletti, avocat à Rome. </w:t>
      </w:r>
      <w:r w:rsidR="00E77CB3" w:rsidRPr="000142AB">
        <w:rPr>
          <w:lang w:val="fr-FR"/>
        </w:rPr>
        <w:t xml:space="preserve">Le gouvernement </w:t>
      </w:r>
      <w:r w:rsidRPr="000142AB">
        <w:rPr>
          <w:lang w:val="fr-FR"/>
        </w:rPr>
        <w:t>italien</w:t>
      </w:r>
      <w:r w:rsidR="00E77CB3" w:rsidRPr="000142AB">
        <w:rPr>
          <w:lang w:val="fr-FR"/>
        </w:rPr>
        <w:t xml:space="preserve"> (« le Gouvernement ») a été représenté par son agent, </w:t>
      </w:r>
      <w:r w:rsidR="00E90034" w:rsidRPr="000142AB">
        <w:rPr>
          <w:lang w:val="fr-FR"/>
        </w:rPr>
        <w:t>M</w:t>
      </w:r>
      <w:r w:rsidR="00E90034" w:rsidRPr="000142AB">
        <w:rPr>
          <w:vertAlign w:val="superscript"/>
          <w:lang w:val="fr-FR"/>
        </w:rPr>
        <w:t>me</w:t>
      </w:r>
      <w:r w:rsidR="000142AB" w:rsidRPr="000142AB">
        <w:rPr>
          <w:lang w:val="fr-FR"/>
        </w:rPr>
        <w:t> E. </w:t>
      </w:r>
      <w:r w:rsidR="00E90034" w:rsidRPr="000142AB">
        <w:rPr>
          <w:lang w:val="fr-FR"/>
        </w:rPr>
        <w:t>Spatafora</w:t>
      </w:r>
      <w:r w:rsidR="007C5300" w:rsidRPr="000142AB">
        <w:rPr>
          <w:lang w:val="fr-FR"/>
        </w:rPr>
        <w:t>.</w:t>
      </w:r>
    </w:p>
    <w:p w:rsidR="003D27F8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454CF2" w:rsidRPr="000142AB">
        <w:rPr>
          <w:lang w:val="fr-FR"/>
        </w:rPr>
        <w:t>Devant la Cour, l</w:t>
      </w:r>
      <w:r w:rsidRPr="000142AB">
        <w:rPr>
          <w:lang w:val="fr-FR"/>
        </w:rPr>
        <w:t>a requérant</w:t>
      </w:r>
      <w:r w:rsidR="00BB3255" w:rsidRPr="000142AB">
        <w:rPr>
          <w:lang w:val="fr-FR"/>
        </w:rPr>
        <w:t>e se plai</w:t>
      </w:r>
      <w:r w:rsidR="00454CF2" w:rsidRPr="000142AB">
        <w:rPr>
          <w:lang w:val="fr-FR"/>
        </w:rPr>
        <w:t>gnai</w:t>
      </w:r>
      <w:r w:rsidR="00BB3255" w:rsidRPr="000142AB">
        <w:rPr>
          <w:lang w:val="fr-FR"/>
        </w:rPr>
        <w:t>t</w:t>
      </w:r>
      <w:r w:rsidRPr="000142AB">
        <w:rPr>
          <w:lang w:val="fr-FR"/>
        </w:rPr>
        <w:t xml:space="preserve"> </w:t>
      </w:r>
      <w:r w:rsidR="00763316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763316" w:rsidRPr="000142AB">
        <w:rPr>
          <w:lang w:val="fr-FR"/>
        </w:rPr>
        <w:t xml:space="preserve">impossibilité de </w:t>
      </w:r>
      <w:r w:rsidR="00675321" w:rsidRPr="000142AB">
        <w:rPr>
          <w:lang w:val="fr-FR"/>
        </w:rPr>
        <w:t>reprendre</w:t>
      </w:r>
      <w:r w:rsidR="00763316" w:rsidRPr="000142AB">
        <w:rPr>
          <w:lang w:val="fr-FR"/>
        </w:rPr>
        <w:t xml:space="preserve"> possession de son </w:t>
      </w:r>
      <w:r w:rsidR="008051DD" w:rsidRPr="000142AB">
        <w:rPr>
          <w:lang w:val="fr-FR"/>
        </w:rPr>
        <w:t xml:space="preserve">immeuble </w:t>
      </w:r>
      <w:r w:rsidR="00763316" w:rsidRPr="000142AB">
        <w:rPr>
          <w:lang w:val="fr-FR"/>
        </w:rPr>
        <w:t>occupé sans titre par des tiers</w:t>
      </w:r>
      <w:r w:rsidR="003D27F8" w:rsidRPr="000142AB">
        <w:rPr>
          <w:lang w:val="fr-FR"/>
        </w:rPr>
        <w:t>.</w:t>
      </w:r>
    </w:p>
    <w:p w:rsidR="00E77CB3" w:rsidRPr="000142AB" w:rsidRDefault="00497B6D" w:rsidP="000142AB">
      <w:pPr>
        <w:pStyle w:val="ECHRPara"/>
        <w:rPr>
          <w:szCs w:val="24"/>
          <w:lang w:val="fr-FR" w:eastAsia="en-GB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Pr="000142AB">
        <w:rPr>
          <w:lang w:val="fr-FR"/>
        </w:rPr>
        <w:t xml:space="preserve">Le </w:t>
      </w:r>
      <w:r w:rsidRPr="000142AB">
        <w:rPr>
          <w:szCs w:val="24"/>
          <w:lang w:val="fr-FR"/>
        </w:rPr>
        <w:t>4 janvier 2017</w:t>
      </w:r>
      <w:r w:rsidR="00E77CB3" w:rsidRPr="000142AB">
        <w:rPr>
          <w:lang w:val="fr-FR"/>
        </w:rPr>
        <w:t xml:space="preserve">, </w:t>
      </w:r>
      <w:r w:rsidRPr="000142AB">
        <w:rPr>
          <w:lang w:val="fr-FR"/>
        </w:rPr>
        <w:t>la requête a été communiquée au Gouvernement</w:t>
      </w:r>
      <w:r w:rsidR="00646454" w:rsidRPr="000142AB">
        <w:rPr>
          <w:lang w:val="fr-FR"/>
        </w:rPr>
        <w:t>.</w:t>
      </w:r>
    </w:p>
    <w:p w:rsidR="002217FC" w:rsidRPr="000142AB" w:rsidRDefault="00E77CB3" w:rsidP="000142AB">
      <w:pPr>
        <w:pStyle w:val="ECHRTitle1"/>
        <w:tabs>
          <w:tab w:val="left" w:pos="5387"/>
        </w:tabs>
        <w:rPr>
          <w:lang w:val="fr-FR"/>
        </w:rPr>
      </w:pPr>
      <w:r w:rsidRPr="000142AB">
        <w:rPr>
          <w:lang w:val="fr-FR"/>
        </w:rPr>
        <w:t>EN FAIT</w:t>
      </w:r>
    </w:p>
    <w:p w:rsidR="00E77CB3" w:rsidRPr="000142AB" w:rsidRDefault="00E77CB3" w:rsidP="000142AB">
      <w:pPr>
        <w:pStyle w:val="ECHRHeading1"/>
        <w:rPr>
          <w:lang w:val="fr-FR"/>
        </w:rPr>
      </w:pPr>
      <w:r w:rsidRPr="000142AB">
        <w:rPr>
          <w:lang w:val="fr-FR"/>
        </w:rPr>
        <w:t>I.  LES CIRCONSTANCES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ESPÈCE</w:t>
      </w:r>
    </w:p>
    <w:p w:rsidR="00F5112E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Pr="000142AB">
        <w:rPr>
          <w:lang w:val="fr-FR"/>
        </w:rPr>
        <w:t xml:space="preserve">La requérante est </w:t>
      </w:r>
      <w:r w:rsidR="00F5112E" w:rsidRPr="000142AB">
        <w:rPr>
          <w:lang w:val="fr-FR"/>
        </w:rPr>
        <w:t>une société à responsabilité limitée de droit italien qui a son siège à Rome.</w:t>
      </w:r>
    </w:p>
    <w:p w:rsidR="0075652F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="00F5112E" w:rsidRPr="000142AB">
        <w:rPr>
          <w:lang w:val="fr-FR"/>
        </w:rPr>
        <w:t>Elle est propriétaire d</w:t>
      </w:r>
      <w:r w:rsidR="000142AB" w:rsidRPr="000142AB">
        <w:rPr>
          <w:lang w:val="fr-FR"/>
        </w:rPr>
        <w:t>’</w:t>
      </w:r>
      <w:r w:rsidR="00F5112E" w:rsidRPr="000142AB">
        <w:rPr>
          <w:lang w:val="fr-FR"/>
        </w:rPr>
        <w:t xml:space="preserve">un immeuble </w:t>
      </w:r>
      <w:r w:rsidR="003459B2" w:rsidRPr="000142AB">
        <w:rPr>
          <w:lang w:val="fr-FR"/>
        </w:rPr>
        <w:t>de 8</w:t>
      </w:r>
      <w:r w:rsidR="00C17E99" w:rsidRPr="000142AB">
        <w:rPr>
          <w:lang w:val="fr-FR"/>
        </w:rPr>
        <w:t> </w:t>
      </w:r>
      <w:r w:rsidR="003459B2" w:rsidRPr="000142AB">
        <w:rPr>
          <w:lang w:val="fr-FR"/>
        </w:rPr>
        <w:t xml:space="preserve">000 </w:t>
      </w:r>
      <w:r w:rsidR="00C17E99" w:rsidRPr="000142AB">
        <w:rPr>
          <w:lang w:val="fr-FR"/>
        </w:rPr>
        <w:t>m</w:t>
      </w:r>
      <w:r w:rsidR="00C17E99" w:rsidRPr="000142AB">
        <w:rPr>
          <w:vertAlign w:val="superscript"/>
          <w:lang w:val="fr-FR"/>
        </w:rPr>
        <w:t>2</w:t>
      </w:r>
      <w:r w:rsidR="003459B2" w:rsidRPr="000142AB">
        <w:rPr>
          <w:lang w:val="fr-FR"/>
        </w:rPr>
        <w:t xml:space="preserve"> environ </w:t>
      </w:r>
      <w:r w:rsidR="00C17E99" w:rsidRPr="000142AB">
        <w:rPr>
          <w:lang w:val="fr-FR"/>
        </w:rPr>
        <w:t xml:space="preserve">qui est </w:t>
      </w:r>
      <w:r w:rsidR="00763316" w:rsidRPr="000142AB">
        <w:rPr>
          <w:lang w:val="fr-FR"/>
        </w:rPr>
        <w:t xml:space="preserve">sis à Rome </w:t>
      </w:r>
      <w:r w:rsidR="00C17E99" w:rsidRPr="000142AB">
        <w:rPr>
          <w:lang w:val="fr-FR"/>
        </w:rPr>
        <w:t xml:space="preserve">et </w:t>
      </w:r>
      <w:r w:rsidR="00763316" w:rsidRPr="000142AB">
        <w:rPr>
          <w:lang w:val="fr-FR"/>
        </w:rPr>
        <w:t xml:space="preserve">qui, entre 1971 et 2011, fut </w:t>
      </w:r>
      <w:r w:rsidR="008B28EB" w:rsidRPr="000142AB">
        <w:rPr>
          <w:lang w:val="fr-FR"/>
        </w:rPr>
        <w:t xml:space="preserve">affecté à </w:t>
      </w:r>
      <w:r w:rsidR="005C56B5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5C56B5" w:rsidRPr="000142AB">
        <w:rPr>
          <w:lang w:val="fr-FR"/>
        </w:rPr>
        <w:t>usage d</w:t>
      </w:r>
      <w:r w:rsidR="000142AB" w:rsidRPr="000142AB">
        <w:rPr>
          <w:lang w:val="fr-FR"/>
        </w:rPr>
        <w:t>’</w:t>
      </w:r>
      <w:r w:rsidR="005C56B5" w:rsidRPr="000142AB">
        <w:rPr>
          <w:lang w:val="fr-FR"/>
        </w:rPr>
        <w:t xml:space="preserve">une </w:t>
      </w:r>
      <w:r w:rsidR="008B28EB" w:rsidRPr="000142AB">
        <w:rPr>
          <w:lang w:val="fr-FR"/>
        </w:rPr>
        <w:t xml:space="preserve">clinique en vertu de conventions </w:t>
      </w:r>
      <w:r w:rsidR="006A7361" w:rsidRPr="000142AB">
        <w:rPr>
          <w:lang w:val="fr-FR"/>
        </w:rPr>
        <w:t xml:space="preserve">successives </w:t>
      </w:r>
      <w:r w:rsidR="008B28EB" w:rsidRPr="000142AB">
        <w:rPr>
          <w:lang w:val="fr-FR"/>
        </w:rPr>
        <w:t>conclu</w:t>
      </w:r>
      <w:r w:rsidR="009F24C5" w:rsidRPr="000142AB">
        <w:rPr>
          <w:lang w:val="fr-FR"/>
        </w:rPr>
        <w:t>es</w:t>
      </w:r>
      <w:r w:rsidR="008B28EB" w:rsidRPr="000142AB">
        <w:rPr>
          <w:lang w:val="fr-FR"/>
        </w:rPr>
        <w:t xml:space="preserve"> avec l</w:t>
      </w:r>
      <w:r w:rsidR="000142AB" w:rsidRPr="000142AB">
        <w:rPr>
          <w:lang w:val="fr-FR"/>
        </w:rPr>
        <w:t>’</w:t>
      </w:r>
      <w:r w:rsidR="008B28EB" w:rsidRPr="000142AB">
        <w:rPr>
          <w:lang w:val="fr-FR"/>
        </w:rPr>
        <w:t>hôpital public San Filippo Neri.</w:t>
      </w:r>
    </w:p>
    <w:p w:rsidR="006A7361" w:rsidRPr="000142AB" w:rsidRDefault="006A7361" w:rsidP="000142AB">
      <w:pPr>
        <w:pStyle w:val="ECHRPara"/>
        <w:rPr>
          <w:lang w:val="fr-FR"/>
        </w:rPr>
      </w:pPr>
      <w:r w:rsidRPr="000142AB">
        <w:rPr>
          <w:lang w:val="fr-FR"/>
        </w:rPr>
        <w:lastRenderedPageBreak/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7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3A1095" w:rsidRPr="000142AB">
        <w:rPr>
          <w:lang w:val="fr-FR"/>
        </w:rPr>
        <w:t xml:space="preserve">La dernière convention </w:t>
      </w:r>
      <w:r w:rsidR="00517407" w:rsidRPr="000142AB">
        <w:rPr>
          <w:lang w:val="fr-FR"/>
        </w:rPr>
        <w:t>avec l</w:t>
      </w:r>
      <w:r w:rsidR="000142AB" w:rsidRPr="000142AB">
        <w:rPr>
          <w:lang w:val="fr-FR"/>
        </w:rPr>
        <w:t>’</w:t>
      </w:r>
      <w:r w:rsidR="00517407" w:rsidRPr="000142AB">
        <w:rPr>
          <w:lang w:val="fr-FR"/>
        </w:rPr>
        <w:t xml:space="preserve">hôpital </w:t>
      </w:r>
      <w:r w:rsidR="003A1095" w:rsidRPr="000142AB">
        <w:rPr>
          <w:lang w:val="fr-FR"/>
        </w:rPr>
        <w:t>prit fin le 16</w:t>
      </w:r>
      <w:r w:rsidR="00EB0AB4" w:rsidRPr="000142AB">
        <w:rPr>
          <w:lang w:val="fr-FR"/>
        </w:rPr>
        <w:t> </w:t>
      </w:r>
      <w:r w:rsidR="003A1095" w:rsidRPr="000142AB">
        <w:rPr>
          <w:lang w:val="fr-FR"/>
        </w:rPr>
        <w:t>novembre</w:t>
      </w:r>
      <w:r w:rsidR="000142AB" w:rsidRPr="000142AB">
        <w:rPr>
          <w:lang w:val="fr-FR"/>
        </w:rPr>
        <w:t xml:space="preserve"> </w:t>
      </w:r>
      <w:r w:rsidR="003A1095" w:rsidRPr="000142AB">
        <w:rPr>
          <w:lang w:val="fr-FR"/>
        </w:rPr>
        <w:t>2011. L</w:t>
      </w:r>
      <w:r w:rsidR="000142AB" w:rsidRPr="000142AB">
        <w:rPr>
          <w:lang w:val="fr-FR"/>
        </w:rPr>
        <w:t>’</w:t>
      </w:r>
      <w:r w:rsidR="003A1095" w:rsidRPr="000142AB">
        <w:rPr>
          <w:lang w:val="fr-FR"/>
        </w:rPr>
        <w:t>immeuble resta dès lors inoccupé</w:t>
      </w:r>
      <w:r w:rsidR="00C17E99" w:rsidRPr="000142AB">
        <w:rPr>
          <w:lang w:val="fr-FR"/>
        </w:rPr>
        <w:t>,</w:t>
      </w:r>
      <w:r w:rsidR="003A1095" w:rsidRPr="000142AB">
        <w:rPr>
          <w:lang w:val="fr-FR"/>
        </w:rPr>
        <w:t xml:space="preserve"> à l</w:t>
      </w:r>
      <w:r w:rsidR="000142AB" w:rsidRPr="000142AB">
        <w:rPr>
          <w:lang w:val="fr-FR"/>
        </w:rPr>
        <w:t>’</w:t>
      </w:r>
      <w:r w:rsidR="003A1095" w:rsidRPr="000142AB">
        <w:rPr>
          <w:lang w:val="fr-FR"/>
        </w:rPr>
        <w:t>exception d</w:t>
      </w:r>
      <w:r w:rsidR="000142AB" w:rsidRPr="000142AB">
        <w:rPr>
          <w:lang w:val="fr-FR"/>
        </w:rPr>
        <w:t>’</w:t>
      </w:r>
      <w:r w:rsidR="003A1095" w:rsidRPr="000142AB">
        <w:rPr>
          <w:lang w:val="fr-FR"/>
        </w:rPr>
        <w:t xml:space="preserve">un appartement </w:t>
      </w:r>
      <w:r w:rsidR="00D62E9B" w:rsidRPr="000142AB">
        <w:rPr>
          <w:lang w:val="fr-FR"/>
        </w:rPr>
        <w:t>habité par une tierce personne sur la base d</w:t>
      </w:r>
      <w:r w:rsidR="000142AB" w:rsidRPr="000142AB">
        <w:rPr>
          <w:lang w:val="fr-FR"/>
        </w:rPr>
        <w:t>’</w:t>
      </w:r>
      <w:r w:rsidR="00D62E9B" w:rsidRPr="000142AB">
        <w:rPr>
          <w:lang w:val="fr-FR"/>
        </w:rPr>
        <w:t>un contrat</w:t>
      </w:r>
      <w:r w:rsidR="009F24C5" w:rsidRPr="000142AB">
        <w:rPr>
          <w:lang w:val="fr-FR"/>
        </w:rPr>
        <w:t xml:space="preserve"> de commodat</w:t>
      </w:r>
      <w:r w:rsidR="003A1095" w:rsidRPr="000142AB">
        <w:rPr>
          <w:lang w:val="fr-FR"/>
        </w:rPr>
        <w:t>.</w:t>
      </w:r>
    </w:p>
    <w:p w:rsidR="009F24C5" w:rsidRPr="000142AB" w:rsidRDefault="003A1095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8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Le 6 décembre 2012, </w:t>
      </w:r>
      <w:r w:rsidR="005F4979" w:rsidRPr="000142AB">
        <w:rPr>
          <w:lang w:val="fr-FR"/>
        </w:rPr>
        <w:t xml:space="preserve">une centaine de personnes </w:t>
      </w:r>
      <w:r w:rsidR="00061415" w:rsidRPr="000142AB">
        <w:rPr>
          <w:lang w:val="fr-FR"/>
        </w:rPr>
        <w:t>s</w:t>
      </w:r>
      <w:r w:rsidR="000142AB" w:rsidRPr="000142AB">
        <w:rPr>
          <w:lang w:val="fr-FR"/>
        </w:rPr>
        <w:t>’</w:t>
      </w:r>
      <w:r w:rsidR="00061415" w:rsidRPr="000142AB">
        <w:rPr>
          <w:lang w:val="fr-FR"/>
        </w:rPr>
        <w:t xml:space="preserve">introduisirent par la force dans </w:t>
      </w:r>
      <w:r w:rsidR="001B7588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1B7588" w:rsidRPr="000142AB">
        <w:rPr>
          <w:lang w:val="fr-FR"/>
        </w:rPr>
        <w:t>immeuble</w:t>
      </w:r>
      <w:r w:rsidR="00061415" w:rsidRPr="000142AB">
        <w:rPr>
          <w:lang w:val="fr-FR"/>
        </w:rPr>
        <w:t xml:space="preserve"> de la requérante et s</w:t>
      </w:r>
      <w:r w:rsidR="000142AB" w:rsidRPr="000142AB">
        <w:rPr>
          <w:lang w:val="fr-FR"/>
        </w:rPr>
        <w:t>’</w:t>
      </w:r>
      <w:r w:rsidR="00061415" w:rsidRPr="000142AB">
        <w:rPr>
          <w:lang w:val="fr-FR"/>
        </w:rPr>
        <w:t xml:space="preserve">approprièrent </w:t>
      </w:r>
      <w:r w:rsidR="00D150F6" w:rsidRPr="000142AB">
        <w:rPr>
          <w:lang w:val="fr-FR"/>
        </w:rPr>
        <w:t>l</w:t>
      </w:r>
      <w:r w:rsidR="00061415" w:rsidRPr="000142AB">
        <w:rPr>
          <w:lang w:val="fr-FR"/>
        </w:rPr>
        <w:t xml:space="preserve">es lieux. </w:t>
      </w:r>
      <w:r w:rsidR="009F24C5" w:rsidRPr="000142AB">
        <w:rPr>
          <w:lang w:val="fr-FR"/>
        </w:rPr>
        <w:t xml:space="preserve">Le même jour, la requérante </w:t>
      </w:r>
      <w:r w:rsidR="00837BD2" w:rsidRPr="000142AB">
        <w:rPr>
          <w:lang w:val="fr-FR"/>
        </w:rPr>
        <w:t>déposa une première</w:t>
      </w:r>
      <w:r w:rsidR="008051DD" w:rsidRPr="000142AB">
        <w:rPr>
          <w:lang w:val="fr-FR"/>
        </w:rPr>
        <w:t xml:space="preserve"> plainte devant le procureur </w:t>
      </w:r>
      <w:r w:rsidR="009F24C5" w:rsidRPr="000142AB">
        <w:rPr>
          <w:lang w:val="fr-FR"/>
        </w:rPr>
        <w:t>de la République</w:t>
      </w:r>
      <w:r w:rsidR="00D150F6" w:rsidRPr="000142AB">
        <w:rPr>
          <w:lang w:val="fr-FR"/>
        </w:rPr>
        <w:t>. Elle</w:t>
      </w:r>
      <w:r w:rsidR="002A5594" w:rsidRPr="000142AB">
        <w:rPr>
          <w:lang w:val="fr-FR"/>
        </w:rPr>
        <w:t xml:space="preserve"> dénonça</w:t>
      </w:r>
      <w:r w:rsidR="00D150F6" w:rsidRPr="000142AB">
        <w:rPr>
          <w:lang w:val="fr-FR"/>
        </w:rPr>
        <w:t>i</w:t>
      </w:r>
      <w:r w:rsidR="002A5594" w:rsidRPr="000142AB">
        <w:rPr>
          <w:lang w:val="fr-FR"/>
        </w:rPr>
        <w:t xml:space="preserve">t une atteinte à </w:t>
      </w:r>
      <w:r w:rsidR="0073329B" w:rsidRPr="000142AB">
        <w:rPr>
          <w:lang w:val="fr-FR"/>
        </w:rPr>
        <w:t>son droit de propriété</w:t>
      </w:r>
      <w:r w:rsidR="002A5594" w:rsidRPr="000142AB">
        <w:rPr>
          <w:lang w:val="fr-FR"/>
        </w:rPr>
        <w:t xml:space="preserve"> et demanda</w:t>
      </w:r>
      <w:r w:rsidR="00D150F6" w:rsidRPr="000142AB">
        <w:rPr>
          <w:lang w:val="fr-FR"/>
        </w:rPr>
        <w:t>i</w:t>
      </w:r>
      <w:r w:rsidR="002A5594" w:rsidRPr="000142AB">
        <w:rPr>
          <w:lang w:val="fr-FR"/>
        </w:rPr>
        <w:t xml:space="preserve">t </w:t>
      </w:r>
      <w:r w:rsidR="00D62E9B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D62E9B" w:rsidRPr="000142AB">
        <w:rPr>
          <w:lang w:val="fr-FR"/>
        </w:rPr>
        <w:t>évacuation</w:t>
      </w:r>
      <w:r w:rsidR="002A5594" w:rsidRPr="000142AB">
        <w:rPr>
          <w:lang w:val="fr-FR"/>
        </w:rPr>
        <w:t xml:space="preserve"> des lieux.</w:t>
      </w:r>
    </w:p>
    <w:p w:rsidR="0075652F" w:rsidRPr="000142AB" w:rsidRDefault="009F24C5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9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2031A7" w:rsidRPr="000142AB">
        <w:rPr>
          <w:lang w:val="fr-FR"/>
        </w:rPr>
        <w:t>Entre le 7 décembre 2012 et le 1</w:t>
      </w:r>
      <w:r w:rsidR="002031A7" w:rsidRPr="000142AB">
        <w:rPr>
          <w:vertAlign w:val="superscript"/>
          <w:lang w:val="fr-FR"/>
        </w:rPr>
        <w:t>er</w:t>
      </w:r>
      <w:r w:rsidR="002031A7" w:rsidRPr="000142AB">
        <w:rPr>
          <w:lang w:val="fr-FR"/>
        </w:rPr>
        <w:t xml:space="preserve"> juillet 2013, la requérante réitéra sa plainte à </w:t>
      </w:r>
      <w:r w:rsidR="00B23D5A" w:rsidRPr="000142AB">
        <w:rPr>
          <w:lang w:val="fr-FR"/>
        </w:rPr>
        <w:t>onze</w:t>
      </w:r>
      <w:r w:rsidR="002031A7" w:rsidRPr="000142AB">
        <w:rPr>
          <w:lang w:val="fr-FR"/>
        </w:rPr>
        <w:t xml:space="preserve"> reprises</w:t>
      </w:r>
      <w:r w:rsidR="00771CC6" w:rsidRPr="000142AB">
        <w:rPr>
          <w:lang w:val="fr-FR"/>
        </w:rPr>
        <w:t>,</w:t>
      </w:r>
      <w:r w:rsidR="002031A7" w:rsidRPr="000142AB">
        <w:rPr>
          <w:lang w:val="fr-FR"/>
        </w:rPr>
        <w:t xml:space="preserve"> </w:t>
      </w:r>
      <w:r w:rsidR="00771CC6" w:rsidRPr="000142AB">
        <w:rPr>
          <w:lang w:val="fr-FR"/>
        </w:rPr>
        <w:t xml:space="preserve">y joignant </w:t>
      </w:r>
      <w:r w:rsidR="00402B3A" w:rsidRPr="000142AB">
        <w:rPr>
          <w:lang w:val="fr-FR"/>
        </w:rPr>
        <w:t xml:space="preserve">différents </w:t>
      </w:r>
      <w:r w:rsidR="002031A7" w:rsidRPr="000142AB">
        <w:rPr>
          <w:lang w:val="fr-FR"/>
        </w:rPr>
        <w:t>documents</w:t>
      </w:r>
      <w:r w:rsidR="00B23D5A" w:rsidRPr="000142AB">
        <w:rPr>
          <w:lang w:val="fr-FR"/>
        </w:rPr>
        <w:t xml:space="preserve"> à l</w:t>
      </w:r>
      <w:r w:rsidR="000142AB" w:rsidRPr="000142AB">
        <w:rPr>
          <w:lang w:val="fr-FR"/>
        </w:rPr>
        <w:t>’</w:t>
      </w:r>
      <w:r w:rsidR="00B23D5A" w:rsidRPr="000142AB">
        <w:rPr>
          <w:lang w:val="fr-FR"/>
        </w:rPr>
        <w:t>appui de ses allégations</w:t>
      </w:r>
      <w:r w:rsidR="002031A7" w:rsidRPr="000142AB">
        <w:rPr>
          <w:lang w:val="fr-FR"/>
        </w:rPr>
        <w:t xml:space="preserve">. </w:t>
      </w:r>
      <w:r w:rsidR="00B23D5A" w:rsidRPr="000142AB">
        <w:rPr>
          <w:lang w:val="fr-FR"/>
        </w:rPr>
        <w:t>Le</w:t>
      </w:r>
      <w:r w:rsidR="002031A7" w:rsidRPr="000142AB">
        <w:rPr>
          <w:lang w:val="fr-FR"/>
        </w:rPr>
        <w:t xml:space="preserve"> 12</w:t>
      </w:r>
      <w:r w:rsidRPr="000142AB">
        <w:rPr>
          <w:lang w:val="fr-FR"/>
        </w:rPr>
        <w:t xml:space="preserve"> juin 2013, </w:t>
      </w:r>
      <w:r w:rsidR="002031A7" w:rsidRPr="000142AB">
        <w:rPr>
          <w:lang w:val="fr-FR"/>
        </w:rPr>
        <w:t>elle</w:t>
      </w:r>
      <w:r w:rsidRPr="000142AB">
        <w:rPr>
          <w:lang w:val="fr-FR"/>
        </w:rPr>
        <w:t xml:space="preserve"> </w:t>
      </w:r>
      <w:r w:rsidR="006B6C99" w:rsidRPr="000142AB">
        <w:rPr>
          <w:lang w:val="fr-FR"/>
        </w:rPr>
        <w:t xml:space="preserve">sollicita </w:t>
      </w:r>
      <w:r w:rsidRPr="000142AB">
        <w:rPr>
          <w:lang w:val="fr-FR"/>
        </w:rPr>
        <w:t xml:space="preserve">également la saisie </w:t>
      </w:r>
      <w:r w:rsidR="00011634" w:rsidRPr="000142AB">
        <w:rPr>
          <w:lang w:val="fr-FR"/>
        </w:rPr>
        <w:t>provisoire</w:t>
      </w:r>
      <w:r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immeuble.</w:t>
      </w:r>
    </w:p>
    <w:bookmarkStart w:id="2" w:name="ordredesaisie"/>
    <w:p w:rsidR="0075652F" w:rsidRPr="000142AB" w:rsidRDefault="002031A7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10</w:t>
      </w:r>
      <w:r w:rsidRPr="000142AB">
        <w:rPr>
          <w:lang w:val="fr-FR"/>
        </w:rPr>
        <w:fldChar w:fldCharType="end"/>
      </w:r>
      <w:bookmarkEnd w:id="2"/>
      <w:r w:rsidRPr="000142AB">
        <w:rPr>
          <w:lang w:val="fr-FR"/>
        </w:rPr>
        <w:t>.  </w:t>
      </w:r>
      <w:r w:rsidR="009F24C5" w:rsidRPr="000142AB">
        <w:rPr>
          <w:lang w:val="fr-FR"/>
        </w:rPr>
        <w:t xml:space="preserve">Par une décision du 9 </w:t>
      </w:r>
      <w:r w:rsidR="00B07C34" w:rsidRPr="000142AB">
        <w:rPr>
          <w:lang w:val="fr-FR"/>
        </w:rPr>
        <w:t>aoû</w:t>
      </w:r>
      <w:r w:rsidR="009F24C5" w:rsidRPr="000142AB">
        <w:rPr>
          <w:lang w:val="fr-FR"/>
        </w:rPr>
        <w:t>t 2013, le juge des investigations préliminaires de Rome</w:t>
      </w:r>
      <w:r w:rsidR="00A41090" w:rsidRPr="000142AB">
        <w:rPr>
          <w:lang w:val="fr-FR"/>
        </w:rPr>
        <w:t xml:space="preserve"> fit droit à la demande du parquet </w:t>
      </w:r>
      <w:r w:rsidR="006B6C99" w:rsidRPr="000142AB">
        <w:rPr>
          <w:lang w:val="fr-FR"/>
        </w:rPr>
        <w:t xml:space="preserve">en ce sens </w:t>
      </w:r>
      <w:r w:rsidR="00A41090" w:rsidRPr="000142AB">
        <w:rPr>
          <w:lang w:val="fr-FR"/>
        </w:rPr>
        <w:t>et</w:t>
      </w:r>
      <w:r w:rsidR="009F24C5" w:rsidRPr="000142AB">
        <w:rPr>
          <w:lang w:val="fr-FR"/>
        </w:rPr>
        <w:t xml:space="preserve"> ordonna que l</w:t>
      </w:r>
      <w:r w:rsidR="000142AB" w:rsidRPr="000142AB">
        <w:rPr>
          <w:lang w:val="fr-FR"/>
        </w:rPr>
        <w:t>’</w:t>
      </w:r>
      <w:r w:rsidR="00A41090" w:rsidRPr="000142AB">
        <w:rPr>
          <w:lang w:val="fr-FR"/>
        </w:rPr>
        <w:t>immeuble f</w:t>
      </w:r>
      <w:r w:rsidRPr="000142AB">
        <w:rPr>
          <w:lang w:val="fr-FR"/>
        </w:rPr>
        <w:t xml:space="preserve">ût saisi à titre </w:t>
      </w:r>
      <w:r w:rsidR="00011634" w:rsidRPr="000142AB">
        <w:rPr>
          <w:lang w:val="fr-FR"/>
        </w:rPr>
        <w:t>provisoire</w:t>
      </w:r>
      <w:r w:rsidR="001B7588" w:rsidRPr="000142AB">
        <w:rPr>
          <w:lang w:val="fr-FR"/>
        </w:rPr>
        <w:t>.</w:t>
      </w:r>
      <w:r w:rsidR="00D150F6" w:rsidRPr="000142AB">
        <w:rPr>
          <w:lang w:val="fr-FR"/>
        </w:rPr>
        <w:t xml:space="preserve"> </w:t>
      </w:r>
      <w:r w:rsidR="001A05CB" w:rsidRPr="000142AB">
        <w:rPr>
          <w:lang w:val="fr-FR"/>
        </w:rPr>
        <w:t>Il</w:t>
      </w:r>
      <w:r w:rsidR="001B7588" w:rsidRPr="000142AB">
        <w:rPr>
          <w:lang w:val="fr-FR"/>
        </w:rPr>
        <w:t xml:space="preserve"> releva </w:t>
      </w:r>
      <w:r w:rsidR="006B3373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B07C34" w:rsidRPr="000142AB">
        <w:rPr>
          <w:lang w:val="fr-FR"/>
        </w:rPr>
        <w:t xml:space="preserve">il ressortait </w:t>
      </w:r>
      <w:r w:rsidR="006B3373" w:rsidRPr="000142AB">
        <w:rPr>
          <w:lang w:val="fr-FR"/>
        </w:rPr>
        <w:t>des</w:t>
      </w:r>
      <w:r w:rsidR="001B7588" w:rsidRPr="000142AB">
        <w:rPr>
          <w:lang w:val="fr-FR"/>
        </w:rPr>
        <w:t xml:space="preserve"> investigations </w:t>
      </w:r>
      <w:r w:rsidR="00501B1E" w:rsidRPr="000142AB">
        <w:rPr>
          <w:lang w:val="fr-FR"/>
        </w:rPr>
        <w:t>diligentées</w:t>
      </w:r>
      <w:r w:rsidR="00B31B82" w:rsidRPr="000142AB">
        <w:rPr>
          <w:lang w:val="fr-FR"/>
        </w:rPr>
        <w:t xml:space="preserve"> à la suite de la plainte déposée par la requérante </w:t>
      </w:r>
      <w:r w:rsidR="001B7588" w:rsidRPr="000142AB">
        <w:rPr>
          <w:lang w:val="fr-FR"/>
        </w:rPr>
        <w:t xml:space="preserve">que </w:t>
      </w:r>
      <w:r w:rsidR="00517407" w:rsidRPr="000142AB">
        <w:rPr>
          <w:lang w:val="fr-FR"/>
        </w:rPr>
        <w:t>le bien</w:t>
      </w:r>
      <w:r w:rsidR="007C6D9F" w:rsidRPr="000142AB">
        <w:rPr>
          <w:lang w:val="fr-FR"/>
        </w:rPr>
        <w:t xml:space="preserve"> était occupé</w:t>
      </w:r>
      <w:r w:rsidR="001B7588" w:rsidRPr="000142AB">
        <w:rPr>
          <w:lang w:val="fr-FR"/>
        </w:rPr>
        <w:t xml:space="preserve"> </w:t>
      </w:r>
      <w:r w:rsidR="001A05CB" w:rsidRPr="000142AB">
        <w:rPr>
          <w:lang w:val="fr-FR"/>
        </w:rPr>
        <w:t xml:space="preserve">par </w:t>
      </w:r>
      <w:r w:rsidR="001B7588" w:rsidRPr="000142AB">
        <w:rPr>
          <w:lang w:val="fr-FR"/>
        </w:rPr>
        <w:t>150 personnes environ et que la gestion de l</w:t>
      </w:r>
      <w:r w:rsidR="000142AB" w:rsidRPr="000142AB">
        <w:rPr>
          <w:lang w:val="fr-FR"/>
        </w:rPr>
        <w:t>’</w:t>
      </w:r>
      <w:r w:rsidR="001B7588" w:rsidRPr="000142AB">
        <w:rPr>
          <w:lang w:val="fr-FR"/>
        </w:rPr>
        <w:t>occupation,</w:t>
      </w:r>
      <w:r w:rsidR="006B3373" w:rsidRPr="000142AB">
        <w:rPr>
          <w:lang w:val="fr-FR"/>
        </w:rPr>
        <w:t xml:space="preserve"> qui</w:t>
      </w:r>
      <w:r w:rsidR="001B7588" w:rsidRPr="000142AB">
        <w:rPr>
          <w:lang w:val="fr-FR"/>
        </w:rPr>
        <w:t xml:space="preserve"> s</w:t>
      </w:r>
      <w:r w:rsidR="001A05CB" w:rsidRPr="000142AB">
        <w:rPr>
          <w:lang w:val="fr-FR"/>
        </w:rPr>
        <w:t xml:space="preserve">e serait </w:t>
      </w:r>
      <w:r w:rsidR="006B3373" w:rsidRPr="000142AB">
        <w:rPr>
          <w:lang w:val="fr-FR"/>
        </w:rPr>
        <w:t>inscri</w:t>
      </w:r>
      <w:r w:rsidR="001A05CB" w:rsidRPr="000142AB">
        <w:rPr>
          <w:lang w:val="fr-FR"/>
        </w:rPr>
        <w:t>te</w:t>
      </w:r>
      <w:r w:rsidR="001B7588" w:rsidRPr="000142AB">
        <w:rPr>
          <w:lang w:val="fr-FR"/>
        </w:rPr>
        <w:t xml:space="preserve"> dans </w:t>
      </w:r>
      <w:r w:rsidR="005B6874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5B6874" w:rsidRPr="000142AB">
        <w:rPr>
          <w:lang w:val="fr-FR"/>
        </w:rPr>
        <w:t>action du</w:t>
      </w:r>
      <w:r w:rsidR="001B7588" w:rsidRPr="000142AB">
        <w:rPr>
          <w:lang w:val="fr-FR"/>
        </w:rPr>
        <w:t xml:space="preserve"> mouvement </w:t>
      </w:r>
      <w:r w:rsidR="00741D9C" w:rsidRPr="000142AB">
        <w:rPr>
          <w:lang w:val="fr-FR"/>
        </w:rPr>
        <w:t xml:space="preserve">citoyen </w:t>
      </w:r>
      <w:r w:rsidR="001A05CB" w:rsidRPr="000142AB">
        <w:rPr>
          <w:lang w:val="fr-FR"/>
        </w:rPr>
        <w:t>de</w:t>
      </w:r>
      <w:r w:rsidR="007E4EA6" w:rsidRPr="000142AB">
        <w:rPr>
          <w:lang w:val="fr-FR"/>
        </w:rPr>
        <w:t xml:space="preserve"> défense du droit au logement</w:t>
      </w:r>
      <w:r w:rsidR="001B7588" w:rsidRPr="000142AB">
        <w:rPr>
          <w:lang w:val="fr-FR"/>
        </w:rPr>
        <w:t xml:space="preserve"> (</w:t>
      </w:r>
      <w:r w:rsidR="001A05CB" w:rsidRPr="000142AB">
        <w:rPr>
          <w:i/>
          <w:lang w:val="fr-FR"/>
        </w:rPr>
        <w:t xml:space="preserve">movimento </w:t>
      </w:r>
      <w:r w:rsidR="001B7588" w:rsidRPr="000142AB">
        <w:rPr>
          <w:i/>
          <w:lang w:val="fr-FR"/>
        </w:rPr>
        <w:t>lotta per la casa</w:t>
      </w:r>
      <w:r w:rsidR="003C47AC" w:rsidRPr="000142AB">
        <w:rPr>
          <w:lang w:val="fr-FR"/>
        </w:rPr>
        <w:t xml:space="preserve">), était </w:t>
      </w:r>
      <w:r w:rsidR="005B6874" w:rsidRPr="000142AB">
        <w:rPr>
          <w:lang w:val="fr-FR"/>
        </w:rPr>
        <w:t xml:space="preserve">organisée </w:t>
      </w:r>
      <w:r w:rsidR="0073329B" w:rsidRPr="000142AB">
        <w:rPr>
          <w:lang w:val="fr-FR"/>
        </w:rPr>
        <w:t xml:space="preserve">et </w:t>
      </w:r>
      <w:r w:rsidR="001A05CB" w:rsidRPr="000142AB">
        <w:rPr>
          <w:lang w:val="fr-FR"/>
        </w:rPr>
        <w:t xml:space="preserve">régie </w:t>
      </w:r>
      <w:r w:rsidR="003C47AC" w:rsidRPr="000142AB">
        <w:rPr>
          <w:lang w:val="fr-FR"/>
        </w:rPr>
        <w:t>par un groupe restreint d</w:t>
      </w:r>
      <w:r w:rsidR="000142AB" w:rsidRPr="000142AB">
        <w:rPr>
          <w:lang w:val="fr-FR"/>
        </w:rPr>
        <w:t>’</w:t>
      </w:r>
      <w:r w:rsidR="003C47AC" w:rsidRPr="000142AB">
        <w:rPr>
          <w:lang w:val="fr-FR"/>
        </w:rPr>
        <w:t>individu</w:t>
      </w:r>
      <w:r w:rsidR="00A93EA2" w:rsidRPr="000142AB">
        <w:rPr>
          <w:lang w:val="fr-FR"/>
        </w:rPr>
        <w:t xml:space="preserve">s qui agissaient </w:t>
      </w:r>
      <w:r w:rsidR="00FC2821" w:rsidRPr="000142AB">
        <w:rPr>
          <w:lang w:val="fr-FR"/>
        </w:rPr>
        <w:t xml:space="preserve">à </w:t>
      </w:r>
      <w:r w:rsidR="00A93EA2" w:rsidRPr="000142AB">
        <w:rPr>
          <w:lang w:val="fr-FR"/>
        </w:rPr>
        <w:t>but lucratif</w:t>
      </w:r>
      <w:r w:rsidR="00560631" w:rsidRPr="000142AB">
        <w:rPr>
          <w:lang w:val="fr-FR"/>
        </w:rPr>
        <w:t>.</w:t>
      </w:r>
      <w:r w:rsidR="00B23D5A" w:rsidRPr="000142AB">
        <w:rPr>
          <w:lang w:val="fr-FR"/>
        </w:rPr>
        <w:t xml:space="preserve"> </w:t>
      </w:r>
      <w:r w:rsidR="001A05CB" w:rsidRPr="000142AB">
        <w:rPr>
          <w:lang w:val="fr-FR"/>
        </w:rPr>
        <w:t>Le juge ajouta qu</w:t>
      </w:r>
      <w:r w:rsidR="000142AB" w:rsidRPr="000142AB">
        <w:rPr>
          <w:lang w:val="fr-FR"/>
        </w:rPr>
        <w:t>’</w:t>
      </w:r>
      <w:r w:rsidR="001A05CB" w:rsidRPr="000142AB">
        <w:rPr>
          <w:lang w:val="fr-FR"/>
        </w:rPr>
        <w:t>i</w:t>
      </w:r>
      <w:r w:rsidR="00F033B4" w:rsidRPr="000142AB">
        <w:rPr>
          <w:lang w:val="fr-FR"/>
        </w:rPr>
        <w:t xml:space="preserve">l ressortait par ailleurs </w:t>
      </w:r>
      <w:r w:rsidR="00771CC6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771CC6" w:rsidRPr="000142AB">
        <w:rPr>
          <w:lang w:val="fr-FR"/>
        </w:rPr>
        <w:t xml:space="preserve">enquête </w:t>
      </w:r>
      <w:r w:rsidR="00F033B4" w:rsidRPr="000142AB">
        <w:rPr>
          <w:lang w:val="fr-FR"/>
        </w:rPr>
        <w:t xml:space="preserve">que les occupants avaient commencé à modifier les lieux </w:t>
      </w:r>
      <w:r w:rsidR="00B31B82" w:rsidRPr="000142AB">
        <w:rPr>
          <w:lang w:val="fr-FR"/>
        </w:rPr>
        <w:t>aussitôt après l</w:t>
      </w:r>
      <w:r w:rsidR="000142AB" w:rsidRPr="000142AB">
        <w:rPr>
          <w:lang w:val="fr-FR"/>
        </w:rPr>
        <w:t>’</w:t>
      </w:r>
      <w:r w:rsidR="00B31B82" w:rsidRPr="000142AB">
        <w:rPr>
          <w:lang w:val="fr-FR"/>
        </w:rPr>
        <w:t xml:space="preserve">occupation </w:t>
      </w:r>
      <w:r w:rsidR="00F033B4" w:rsidRPr="000142AB">
        <w:rPr>
          <w:lang w:val="fr-FR"/>
        </w:rPr>
        <w:t xml:space="preserve">par </w:t>
      </w:r>
      <w:r w:rsidR="00771CC6" w:rsidRPr="000142AB">
        <w:rPr>
          <w:lang w:val="fr-FR"/>
        </w:rPr>
        <w:t xml:space="preserve">la mise en place </w:t>
      </w:r>
      <w:r w:rsidR="006B6C99" w:rsidRPr="000142AB">
        <w:rPr>
          <w:lang w:val="fr-FR"/>
        </w:rPr>
        <w:t xml:space="preserve">entre autres </w:t>
      </w:r>
      <w:r w:rsidR="00F033B4" w:rsidRPr="000142AB">
        <w:rPr>
          <w:lang w:val="fr-FR"/>
        </w:rPr>
        <w:t>de grillages visant à limiter l</w:t>
      </w:r>
      <w:r w:rsidR="000142AB" w:rsidRPr="000142AB">
        <w:rPr>
          <w:lang w:val="fr-FR"/>
        </w:rPr>
        <w:t>’</w:t>
      </w:r>
      <w:r w:rsidR="00F033B4" w:rsidRPr="000142AB">
        <w:rPr>
          <w:lang w:val="fr-FR"/>
        </w:rPr>
        <w:t>accès à l</w:t>
      </w:r>
      <w:r w:rsidR="000142AB" w:rsidRPr="000142AB">
        <w:rPr>
          <w:lang w:val="fr-FR"/>
        </w:rPr>
        <w:t>’</w:t>
      </w:r>
      <w:r w:rsidR="00F033B4" w:rsidRPr="000142AB">
        <w:rPr>
          <w:lang w:val="fr-FR"/>
        </w:rPr>
        <w:t>immeuble.</w:t>
      </w:r>
      <w:r w:rsidR="0073329B" w:rsidRPr="000142AB">
        <w:rPr>
          <w:lang w:val="fr-FR"/>
        </w:rPr>
        <w:t xml:space="preserve"> </w:t>
      </w:r>
      <w:r w:rsidR="00771CC6" w:rsidRPr="000142AB">
        <w:rPr>
          <w:lang w:val="fr-FR"/>
        </w:rPr>
        <w:t>Dès lors</w:t>
      </w:r>
      <w:r w:rsidR="006B3373" w:rsidRPr="000142AB">
        <w:rPr>
          <w:lang w:val="fr-FR"/>
        </w:rPr>
        <w:t xml:space="preserve">, </w:t>
      </w:r>
      <w:r w:rsidR="00741D9C" w:rsidRPr="000142AB">
        <w:rPr>
          <w:lang w:val="fr-FR"/>
        </w:rPr>
        <w:t xml:space="preserve">le juge considéra que le délit </w:t>
      </w:r>
      <w:r w:rsidR="004265C7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4265C7" w:rsidRPr="000142AB">
        <w:rPr>
          <w:lang w:val="fr-FR"/>
        </w:rPr>
        <w:t>occupation</w:t>
      </w:r>
      <w:r w:rsidR="001A05CB" w:rsidRPr="000142AB">
        <w:rPr>
          <w:lang w:val="fr-FR"/>
        </w:rPr>
        <w:t xml:space="preserve"> </w:t>
      </w:r>
      <w:r w:rsidR="00AE50D6" w:rsidRPr="000142AB">
        <w:rPr>
          <w:lang w:val="fr-FR"/>
        </w:rPr>
        <w:t>abusive d</w:t>
      </w:r>
      <w:r w:rsidR="000142AB" w:rsidRPr="000142AB">
        <w:rPr>
          <w:lang w:val="fr-FR"/>
        </w:rPr>
        <w:t>’</w:t>
      </w:r>
      <w:r w:rsidR="00AE50D6" w:rsidRPr="000142AB">
        <w:rPr>
          <w:lang w:val="fr-FR"/>
        </w:rPr>
        <w:t>immeuble</w:t>
      </w:r>
      <w:r w:rsidR="001A05CB" w:rsidRPr="000142AB">
        <w:rPr>
          <w:lang w:val="fr-FR"/>
        </w:rPr>
        <w:t>,</w:t>
      </w:r>
      <w:r w:rsidR="00A93EA2" w:rsidRPr="000142AB">
        <w:rPr>
          <w:lang w:val="fr-FR"/>
        </w:rPr>
        <w:t xml:space="preserve"> puni par l</w:t>
      </w:r>
      <w:r w:rsidR="000142AB" w:rsidRPr="000142AB">
        <w:rPr>
          <w:lang w:val="fr-FR"/>
        </w:rPr>
        <w:t>’</w:t>
      </w:r>
      <w:r w:rsidR="00741D9C" w:rsidRPr="000142AB">
        <w:rPr>
          <w:lang w:val="fr-FR"/>
        </w:rPr>
        <w:t>article 633 du code pénal</w:t>
      </w:r>
      <w:r w:rsidR="001A05CB" w:rsidRPr="000142AB">
        <w:rPr>
          <w:lang w:val="fr-FR"/>
        </w:rPr>
        <w:t>,</w:t>
      </w:r>
      <w:r w:rsidR="00741D9C" w:rsidRPr="000142AB">
        <w:rPr>
          <w:lang w:val="fr-FR"/>
        </w:rPr>
        <w:t xml:space="preserve"> était envisageable en l</w:t>
      </w:r>
      <w:r w:rsidR="000142AB" w:rsidRPr="000142AB">
        <w:rPr>
          <w:lang w:val="fr-FR"/>
        </w:rPr>
        <w:t>’</w:t>
      </w:r>
      <w:r w:rsidR="00741D9C" w:rsidRPr="000142AB">
        <w:rPr>
          <w:lang w:val="fr-FR"/>
        </w:rPr>
        <w:t>espèce et qu</w:t>
      </w:r>
      <w:r w:rsidR="0073329B" w:rsidRPr="000142AB">
        <w:rPr>
          <w:lang w:val="fr-FR"/>
        </w:rPr>
        <w:t>e</w:t>
      </w:r>
      <w:r w:rsidR="00741D9C" w:rsidRPr="000142AB">
        <w:rPr>
          <w:lang w:val="fr-FR"/>
        </w:rPr>
        <w:t xml:space="preserve"> </w:t>
      </w:r>
      <w:r w:rsidR="00EF1C05" w:rsidRPr="000142AB">
        <w:rPr>
          <w:lang w:val="fr-FR"/>
        </w:rPr>
        <w:t xml:space="preserve">la </w:t>
      </w:r>
      <w:r w:rsidR="00741D9C" w:rsidRPr="000142AB">
        <w:rPr>
          <w:lang w:val="fr-FR"/>
        </w:rPr>
        <w:t>poursuite de l</w:t>
      </w:r>
      <w:r w:rsidR="000142AB" w:rsidRPr="000142AB">
        <w:rPr>
          <w:lang w:val="fr-FR"/>
        </w:rPr>
        <w:t>’</w:t>
      </w:r>
      <w:r w:rsidR="00741D9C" w:rsidRPr="000142AB">
        <w:rPr>
          <w:lang w:val="fr-FR"/>
        </w:rPr>
        <w:t xml:space="preserve">occupation </w:t>
      </w:r>
      <w:r w:rsidR="00771CC6" w:rsidRPr="000142AB">
        <w:rPr>
          <w:lang w:val="fr-FR"/>
        </w:rPr>
        <w:t xml:space="preserve">entraînait </w:t>
      </w:r>
      <w:r w:rsidR="00B31B82" w:rsidRPr="000142AB">
        <w:rPr>
          <w:lang w:val="fr-FR"/>
        </w:rPr>
        <w:t xml:space="preserve">un </w:t>
      </w:r>
      <w:r w:rsidR="001A05CB" w:rsidRPr="000142AB">
        <w:rPr>
          <w:lang w:val="fr-FR"/>
        </w:rPr>
        <w:t xml:space="preserve">risque </w:t>
      </w:r>
      <w:r w:rsidR="00B31B82" w:rsidRPr="000142AB">
        <w:rPr>
          <w:lang w:val="fr-FR"/>
        </w:rPr>
        <w:t>de dégradation du bien et</w:t>
      </w:r>
      <w:r w:rsidR="00771CC6" w:rsidRPr="000142AB">
        <w:rPr>
          <w:lang w:val="fr-FR"/>
        </w:rPr>
        <w:t xml:space="preserve"> de</w:t>
      </w:r>
      <w:r w:rsidR="00B31B82" w:rsidRPr="000142AB">
        <w:rPr>
          <w:lang w:val="fr-FR"/>
        </w:rPr>
        <w:t xml:space="preserve"> préjudice important pour la partie lésée.</w:t>
      </w:r>
    </w:p>
    <w:p w:rsidR="003C47AC" w:rsidRPr="000142AB" w:rsidRDefault="003C47AC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11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402B3A" w:rsidRPr="000142AB">
        <w:rPr>
          <w:lang w:val="fr-FR"/>
        </w:rPr>
        <w:t xml:space="preserve">Le </w:t>
      </w:r>
      <w:r w:rsidR="004265C7" w:rsidRPr="000142AB">
        <w:rPr>
          <w:lang w:val="fr-FR"/>
        </w:rPr>
        <w:t>procureur</w:t>
      </w:r>
      <w:r w:rsidR="00402B3A" w:rsidRPr="000142AB">
        <w:rPr>
          <w:lang w:val="fr-FR"/>
        </w:rPr>
        <w:t xml:space="preserve"> confia</w:t>
      </w:r>
      <w:r w:rsidR="007077FF" w:rsidRPr="000142AB">
        <w:rPr>
          <w:lang w:val="fr-FR"/>
        </w:rPr>
        <w:t xml:space="preserve"> à la Division des enquêtes générales et des opérations spéciales de la Police (</w:t>
      </w:r>
      <w:r w:rsidR="001A05CB" w:rsidRPr="000142AB">
        <w:rPr>
          <w:lang w:val="fr-FR"/>
        </w:rPr>
        <w:t>Digos</w:t>
      </w:r>
      <w:r w:rsidR="007077FF" w:rsidRPr="000142AB">
        <w:rPr>
          <w:lang w:val="fr-FR"/>
        </w:rPr>
        <w:t>)</w:t>
      </w:r>
      <w:r w:rsidR="00402B3A" w:rsidRPr="000142AB">
        <w:rPr>
          <w:lang w:val="fr-FR"/>
        </w:rPr>
        <w:t xml:space="preserve"> </w:t>
      </w:r>
      <w:r w:rsidR="004265C7" w:rsidRPr="000142AB">
        <w:rPr>
          <w:lang w:val="fr-FR"/>
        </w:rPr>
        <w:t xml:space="preserve">la tâche de faire exécuter </w:t>
      </w:r>
      <w:r w:rsidR="007077FF" w:rsidRPr="000142AB">
        <w:rPr>
          <w:lang w:val="fr-FR"/>
        </w:rPr>
        <w:t>ladite</w:t>
      </w:r>
      <w:r w:rsidR="004265C7" w:rsidRPr="000142AB">
        <w:rPr>
          <w:lang w:val="fr-FR"/>
        </w:rPr>
        <w:t xml:space="preserve"> décision</w:t>
      </w:r>
      <w:r w:rsidR="007077FF" w:rsidRPr="000142AB">
        <w:rPr>
          <w:lang w:val="fr-FR"/>
        </w:rPr>
        <w:t xml:space="preserve">. </w:t>
      </w:r>
      <w:r w:rsidR="001A05CB" w:rsidRPr="000142AB">
        <w:rPr>
          <w:lang w:val="fr-FR"/>
        </w:rPr>
        <w:t>La Digos</w:t>
      </w:r>
      <w:r w:rsidR="007077FF" w:rsidRPr="000142AB">
        <w:rPr>
          <w:lang w:val="fr-FR"/>
        </w:rPr>
        <w:t xml:space="preserve"> </w:t>
      </w:r>
      <w:r w:rsidR="004265C7" w:rsidRPr="000142AB">
        <w:rPr>
          <w:lang w:val="fr-FR"/>
        </w:rPr>
        <w:t xml:space="preserve">délégua </w:t>
      </w:r>
      <w:r w:rsidR="004A534F" w:rsidRPr="000142AB">
        <w:rPr>
          <w:lang w:val="fr-FR"/>
        </w:rPr>
        <w:t xml:space="preserve">ensuite </w:t>
      </w:r>
      <w:r w:rsidR="0080746E" w:rsidRPr="000142AB">
        <w:rPr>
          <w:lang w:val="fr-FR"/>
        </w:rPr>
        <w:t>cette tâche au</w:t>
      </w:r>
      <w:r w:rsidR="00763B5F" w:rsidRPr="000142AB">
        <w:rPr>
          <w:lang w:val="fr-FR"/>
        </w:rPr>
        <w:t xml:space="preserve"> Comité pour l</w:t>
      </w:r>
      <w:r w:rsidR="000142AB" w:rsidRPr="000142AB">
        <w:rPr>
          <w:lang w:val="fr-FR"/>
        </w:rPr>
        <w:t>’</w:t>
      </w:r>
      <w:r w:rsidR="00763B5F" w:rsidRPr="000142AB">
        <w:rPr>
          <w:lang w:val="fr-FR"/>
        </w:rPr>
        <w:t>ordre et la sécurité publique</w:t>
      </w:r>
      <w:r w:rsidR="00D43A7B" w:rsidRPr="000142AB">
        <w:rPr>
          <w:lang w:val="fr-FR"/>
        </w:rPr>
        <w:t xml:space="preserve"> (CPOSP)</w:t>
      </w:r>
      <w:r w:rsidR="000B280B" w:rsidRPr="000142AB">
        <w:rPr>
          <w:lang w:val="fr-FR"/>
        </w:rPr>
        <w:t xml:space="preserve">, encadré par le </w:t>
      </w:r>
      <w:r w:rsidR="001A05CB" w:rsidRPr="000142AB">
        <w:rPr>
          <w:lang w:val="fr-FR"/>
        </w:rPr>
        <w:t>p</w:t>
      </w:r>
      <w:r w:rsidR="000B280B" w:rsidRPr="000142AB">
        <w:rPr>
          <w:lang w:val="fr-FR"/>
        </w:rPr>
        <w:t>réfet.</w:t>
      </w:r>
    </w:p>
    <w:p w:rsidR="0075652F" w:rsidRPr="000142AB" w:rsidRDefault="00763B5F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12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Le 18 septembre 2014, la Digos </w:t>
      </w:r>
      <w:r w:rsidR="004A534F" w:rsidRPr="000142AB">
        <w:rPr>
          <w:lang w:val="fr-FR"/>
        </w:rPr>
        <w:t xml:space="preserve">présenta au </w:t>
      </w:r>
      <w:r w:rsidR="001A05CB" w:rsidRPr="000142AB">
        <w:rPr>
          <w:lang w:val="fr-FR"/>
        </w:rPr>
        <w:t>p</w:t>
      </w:r>
      <w:r w:rsidR="004A534F" w:rsidRPr="000142AB">
        <w:rPr>
          <w:lang w:val="fr-FR"/>
        </w:rPr>
        <w:t xml:space="preserve">rocureur de la République </w:t>
      </w:r>
      <w:r w:rsidR="001A05CB" w:rsidRPr="000142AB">
        <w:rPr>
          <w:lang w:val="fr-FR"/>
        </w:rPr>
        <w:t>un rapport</w:t>
      </w:r>
      <w:r w:rsidR="004A534F" w:rsidRPr="000142AB">
        <w:rPr>
          <w:lang w:val="fr-FR"/>
        </w:rPr>
        <w:t xml:space="preserve"> concernant </w:t>
      </w:r>
      <w:r w:rsidR="00B23D5A" w:rsidRPr="000142AB">
        <w:rPr>
          <w:lang w:val="fr-FR"/>
        </w:rPr>
        <w:t>la situation de l</w:t>
      </w:r>
      <w:r w:rsidR="000142AB" w:rsidRPr="000142AB">
        <w:rPr>
          <w:lang w:val="fr-FR"/>
        </w:rPr>
        <w:t>’</w:t>
      </w:r>
      <w:r w:rsidR="00B23D5A" w:rsidRPr="000142AB">
        <w:rPr>
          <w:lang w:val="fr-FR"/>
        </w:rPr>
        <w:t xml:space="preserve">immeuble de la requérante. </w:t>
      </w:r>
      <w:r w:rsidR="005B6874" w:rsidRPr="000142AB">
        <w:rPr>
          <w:lang w:val="fr-FR"/>
        </w:rPr>
        <w:t>Elle</w:t>
      </w:r>
      <w:r w:rsidR="002B14B6" w:rsidRPr="000142AB">
        <w:rPr>
          <w:lang w:val="fr-FR"/>
        </w:rPr>
        <w:t xml:space="preserve"> </w:t>
      </w:r>
      <w:r w:rsidR="001A05CB" w:rsidRPr="000142AB">
        <w:rPr>
          <w:lang w:val="fr-FR"/>
        </w:rPr>
        <w:t>indiquait</w:t>
      </w:r>
      <w:r w:rsidR="00EF1C05" w:rsidRPr="000142AB">
        <w:rPr>
          <w:lang w:val="fr-FR"/>
        </w:rPr>
        <w:t xml:space="preserve"> </w:t>
      </w:r>
      <w:r w:rsidR="009F0A45" w:rsidRPr="000142AB">
        <w:rPr>
          <w:lang w:val="fr-FR"/>
        </w:rPr>
        <w:t xml:space="preserve">dans ce rapport </w:t>
      </w:r>
      <w:r w:rsidR="00EF1C05" w:rsidRPr="000142AB">
        <w:rPr>
          <w:lang w:val="fr-FR"/>
        </w:rPr>
        <w:t>qu</w:t>
      </w:r>
      <w:r w:rsidR="001A05CB" w:rsidRPr="000142AB">
        <w:rPr>
          <w:lang w:val="fr-FR"/>
        </w:rPr>
        <w:t xml:space="preserve">e, </w:t>
      </w:r>
      <w:r w:rsidR="00EF1C05" w:rsidRPr="000142AB">
        <w:rPr>
          <w:lang w:val="fr-FR"/>
        </w:rPr>
        <w:t>au cours des années</w:t>
      </w:r>
      <w:r w:rsidR="001A05CB" w:rsidRPr="000142AB">
        <w:rPr>
          <w:lang w:val="fr-FR"/>
        </w:rPr>
        <w:t xml:space="preserve"> antérieures,</w:t>
      </w:r>
      <w:r w:rsidR="00EF1C05" w:rsidRPr="000142AB">
        <w:rPr>
          <w:lang w:val="fr-FR"/>
        </w:rPr>
        <w:t xml:space="preserve"> </w:t>
      </w:r>
      <w:r w:rsidR="0058118A" w:rsidRPr="000142AB">
        <w:rPr>
          <w:lang w:val="fr-FR"/>
        </w:rPr>
        <w:t>de nombreuses</w:t>
      </w:r>
      <w:r w:rsidR="00837BD2" w:rsidRPr="000142AB">
        <w:rPr>
          <w:lang w:val="fr-FR"/>
        </w:rPr>
        <w:t xml:space="preserve"> occupations abusives d</w:t>
      </w:r>
      <w:r w:rsidR="000142AB" w:rsidRPr="000142AB">
        <w:rPr>
          <w:lang w:val="fr-FR"/>
        </w:rPr>
        <w:t>’</w:t>
      </w:r>
      <w:r w:rsidR="00837BD2" w:rsidRPr="000142AB">
        <w:rPr>
          <w:lang w:val="fr-FR"/>
        </w:rPr>
        <w:t xml:space="preserve">immeubles, organisées par différents mouvements </w:t>
      </w:r>
      <w:r w:rsidR="009F0A45" w:rsidRPr="000142AB">
        <w:rPr>
          <w:lang w:val="fr-FR"/>
        </w:rPr>
        <w:t>de</w:t>
      </w:r>
      <w:r w:rsidR="007E4EA6" w:rsidRPr="000142AB">
        <w:rPr>
          <w:lang w:val="fr-FR"/>
        </w:rPr>
        <w:t xml:space="preserve"> défense du droit au logement</w:t>
      </w:r>
      <w:r w:rsidR="00837BD2" w:rsidRPr="000142AB">
        <w:rPr>
          <w:lang w:val="fr-FR"/>
        </w:rPr>
        <w:t xml:space="preserve"> et impliquant souvent des centaines </w:t>
      </w:r>
      <w:r w:rsidR="00636D8D" w:rsidRPr="000142AB">
        <w:rPr>
          <w:lang w:val="fr-FR"/>
        </w:rPr>
        <w:t>de personnes</w:t>
      </w:r>
      <w:r w:rsidR="001A05CB" w:rsidRPr="000142AB">
        <w:rPr>
          <w:lang w:val="fr-FR"/>
        </w:rPr>
        <w:t>, avaient eu lieu dans le département de Rome</w:t>
      </w:r>
      <w:r w:rsidR="00837BD2" w:rsidRPr="000142AB">
        <w:rPr>
          <w:lang w:val="fr-FR"/>
        </w:rPr>
        <w:t xml:space="preserve">. </w:t>
      </w:r>
      <w:r w:rsidR="002B14B6" w:rsidRPr="000142AB">
        <w:rPr>
          <w:lang w:val="fr-FR"/>
        </w:rPr>
        <w:t xml:space="preserve">Elle </w:t>
      </w:r>
      <w:r w:rsidR="009F0A45" w:rsidRPr="000142AB">
        <w:rPr>
          <w:lang w:val="fr-FR"/>
        </w:rPr>
        <w:t>arguait</w:t>
      </w:r>
      <w:r w:rsidR="002B14B6" w:rsidRPr="000142AB">
        <w:rPr>
          <w:lang w:val="fr-FR"/>
        </w:rPr>
        <w:t xml:space="preserve"> que, c</w:t>
      </w:r>
      <w:r w:rsidR="00EF1C05" w:rsidRPr="000142AB">
        <w:rPr>
          <w:lang w:val="fr-FR"/>
        </w:rPr>
        <w:t xml:space="preserve">ompte tenu de </w:t>
      </w:r>
      <w:r w:rsidR="007C6D9F" w:rsidRPr="000142AB">
        <w:rPr>
          <w:lang w:val="fr-FR"/>
        </w:rPr>
        <w:t>cette situation</w:t>
      </w:r>
      <w:r w:rsidR="00837BD2" w:rsidRPr="000142AB">
        <w:rPr>
          <w:lang w:val="fr-FR"/>
        </w:rPr>
        <w:t xml:space="preserve">, </w:t>
      </w:r>
      <w:r w:rsidR="003561DA" w:rsidRPr="000142AB">
        <w:rPr>
          <w:lang w:val="fr-FR"/>
        </w:rPr>
        <w:t xml:space="preserve">il était crucial </w:t>
      </w:r>
      <w:r w:rsidR="00BE0275" w:rsidRPr="000142AB">
        <w:rPr>
          <w:lang w:val="fr-FR"/>
        </w:rPr>
        <w:t xml:space="preserve">de planifier soigneusement </w:t>
      </w:r>
      <w:r w:rsidR="003561DA" w:rsidRPr="000142AB">
        <w:rPr>
          <w:lang w:val="fr-FR"/>
        </w:rPr>
        <w:t>les expulsions des occupants afin de préserver l</w:t>
      </w:r>
      <w:r w:rsidR="000142AB" w:rsidRPr="000142AB">
        <w:rPr>
          <w:lang w:val="fr-FR"/>
        </w:rPr>
        <w:t>’</w:t>
      </w:r>
      <w:r w:rsidR="003561DA" w:rsidRPr="000142AB">
        <w:rPr>
          <w:lang w:val="fr-FR"/>
        </w:rPr>
        <w:t xml:space="preserve">ordre public et </w:t>
      </w:r>
      <w:r w:rsidR="002B14B6" w:rsidRPr="000142AB">
        <w:rPr>
          <w:lang w:val="fr-FR"/>
        </w:rPr>
        <w:t>de</w:t>
      </w:r>
      <w:r w:rsidR="003561DA" w:rsidRPr="000142AB">
        <w:rPr>
          <w:lang w:val="fr-FR"/>
        </w:rPr>
        <w:t xml:space="preserve"> garantir l</w:t>
      </w:r>
      <w:r w:rsidR="000142AB" w:rsidRPr="000142AB">
        <w:rPr>
          <w:lang w:val="fr-FR"/>
        </w:rPr>
        <w:t>’</w:t>
      </w:r>
      <w:r w:rsidR="003561DA" w:rsidRPr="000142AB">
        <w:rPr>
          <w:lang w:val="fr-FR"/>
        </w:rPr>
        <w:t>assistance nécessaire aux personnes vulnérables impliquées.</w:t>
      </w:r>
      <w:r w:rsidR="00F76228" w:rsidRPr="000142AB">
        <w:rPr>
          <w:lang w:val="fr-FR"/>
        </w:rPr>
        <w:t xml:space="preserve"> </w:t>
      </w:r>
      <w:r w:rsidR="00624DC7" w:rsidRPr="000142AB">
        <w:rPr>
          <w:lang w:val="fr-FR"/>
        </w:rPr>
        <w:t>Elle précisait que, c</w:t>
      </w:r>
      <w:r w:rsidR="00F76228" w:rsidRPr="000142AB">
        <w:rPr>
          <w:lang w:val="fr-FR"/>
        </w:rPr>
        <w:t>oncernant en particulier l</w:t>
      </w:r>
      <w:r w:rsidR="000142AB" w:rsidRPr="000142AB">
        <w:rPr>
          <w:lang w:val="fr-FR"/>
        </w:rPr>
        <w:t>’</w:t>
      </w:r>
      <w:r w:rsidR="00F76228" w:rsidRPr="000142AB">
        <w:rPr>
          <w:lang w:val="fr-FR"/>
        </w:rPr>
        <w:t>immeuble de la requérante, la question de l</w:t>
      </w:r>
      <w:r w:rsidR="000142AB" w:rsidRPr="000142AB">
        <w:rPr>
          <w:lang w:val="fr-FR"/>
        </w:rPr>
        <w:t>’</w:t>
      </w:r>
      <w:r w:rsidR="00F76228" w:rsidRPr="000142AB">
        <w:rPr>
          <w:lang w:val="fr-FR"/>
        </w:rPr>
        <w:t>expulsion avait été abordée en septembre 2</w:t>
      </w:r>
      <w:r w:rsidR="007C6D9F" w:rsidRPr="000142AB">
        <w:rPr>
          <w:lang w:val="fr-FR"/>
        </w:rPr>
        <w:t xml:space="preserve">013, mais </w:t>
      </w:r>
      <w:r w:rsidR="00624DC7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7C6D9F" w:rsidRPr="000142AB">
        <w:rPr>
          <w:lang w:val="fr-FR"/>
        </w:rPr>
        <w:t>il avait été décidé d</w:t>
      </w:r>
      <w:r w:rsidR="00BE0275" w:rsidRPr="000142AB">
        <w:rPr>
          <w:lang w:val="fr-FR"/>
        </w:rPr>
        <w:t>e</w:t>
      </w:r>
      <w:r w:rsidR="00F76228" w:rsidRPr="000142AB">
        <w:rPr>
          <w:lang w:val="fr-FR"/>
        </w:rPr>
        <w:t xml:space="preserve"> </w:t>
      </w:r>
      <w:r w:rsidR="007C6D9F" w:rsidRPr="000142AB">
        <w:rPr>
          <w:lang w:val="fr-FR"/>
        </w:rPr>
        <w:t>renoncer</w:t>
      </w:r>
      <w:r w:rsidR="00F76228" w:rsidRPr="000142AB">
        <w:rPr>
          <w:lang w:val="fr-FR"/>
        </w:rPr>
        <w:t xml:space="preserve"> </w:t>
      </w:r>
      <w:r w:rsidR="00BE0275" w:rsidRPr="000142AB">
        <w:rPr>
          <w:lang w:val="fr-FR"/>
        </w:rPr>
        <w:t xml:space="preserve">à </w:t>
      </w:r>
      <w:r w:rsidR="00675321" w:rsidRPr="000142AB">
        <w:rPr>
          <w:lang w:val="fr-FR"/>
        </w:rPr>
        <w:t>cette solution</w:t>
      </w:r>
      <w:r w:rsidR="00BE0275" w:rsidRPr="000142AB">
        <w:rPr>
          <w:lang w:val="fr-FR"/>
        </w:rPr>
        <w:t xml:space="preserve"> </w:t>
      </w:r>
      <w:r w:rsidR="00F76228" w:rsidRPr="000142AB">
        <w:rPr>
          <w:lang w:val="fr-FR"/>
        </w:rPr>
        <w:t>compte tenu</w:t>
      </w:r>
      <w:r w:rsidR="006B6C99" w:rsidRPr="000142AB">
        <w:rPr>
          <w:lang w:val="fr-FR"/>
        </w:rPr>
        <w:t xml:space="preserve"> notamment</w:t>
      </w:r>
      <w:r w:rsidR="00F76228" w:rsidRPr="000142AB">
        <w:rPr>
          <w:lang w:val="fr-FR"/>
        </w:rPr>
        <w:t xml:space="preserve"> de la situation financi</w:t>
      </w:r>
      <w:r w:rsidR="006B6C99" w:rsidRPr="000142AB">
        <w:rPr>
          <w:lang w:val="fr-FR"/>
        </w:rPr>
        <w:t xml:space="preserve">ère de la municipalité de </w:t>
      </w:r>
      <w:r w:rsidR="006B6C99" w:rsidRPr="000142AB">
        <w:rPr>
          <w:lang w:val="fr-FR"/>
        </w:rPr>
        <w:lastRenderedPageBreak/>
        <w:t>Rome</w:t>
      </w:r>
      <w:r w:rsidR="00624DC7" w:rsidRPr="000142AB">
        <w:rPr>
          <w:lang w:val="fr-FR"/>
        </w:rPr>
        <w:t>, laquelle n</w:t>
      </w:r>
      <w:r w:rsidR="000142AB" w:rsidRPr="000142AB">
        <w:rPr>
          <w:lang w:val="fr-FR"/>
        </w:rPr>
        <w:t>’</w:t>
      </w:r>
      <w:r w:rsidR="00624DC7" w:rsidRPr="000142AB">
        <w:rPr>
          <w:lang w:val="fr-FR"/>
        </w:rPr>
        <w:t>aurait pas permis</w:t>
      </w:r>
      <w:r w:rsidR="00F76228" w:rsidRPr="000142AB">
        <w:rPr>
          <w:lang w:val="fr-FR"/>
        </w:rPr>
        <w:t xml:space="preserve"> </w:t>
      </w:r>
      <w:r w:rsidR="00BF5450" w:rsidRPr="000142AB">
        <w:rPr>
          <w:lang w:val="fr-FR"/>
        </w:rPr>
        <w:t>de reloger</w:t>
      </w:r>
      <w:r w:rsidR="00F76228" w:rsidRPr="000142AB">
        <w:rPr>
          <w:lang w:val="fr-FR"/>
        </w:rPr>
        <w:t xml:space="preserve"> les occupants</w:t>
      </w:r>
      <w:r w:rsidR="00846930" w:rsidRPr="000142AB">
        <w:rPr>
          <w:lang w:val="fr-FR"/>
        </w:rPr>
        <w:t xml:space="preserve"> </w:t>
      </w:r>
      <w:r w:rsidR="00624DC7" w:rsidRPr="000142AB">
        <w:rPr>
          <w:lang w:val="fr-FR"/>
        </w:rPr>
        <w:t>après leur expulsion</w:t>
      </w:r>
      <w:r w:rsidR="00F76228" w:rsidRPr="000142AB">
        <w:rPr>
          <w:lang w:val="fr-FR"/>
        </w:rPr>
        <w:t>.</w:t>
      </w:r>
    </w:p>
    <w:bookmarkStart w:id="3" w:name="généralitésoccupants"/>
    <w:p w:rsidR="00E37E07" w:rsidRPr="000142AB" w:rsidRDefault="00E37E07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</w:t>
      </w:r>
      <w:bookmarkEnd w:id="3"/>
      <w:r w:rsidRPr="000142AB">
        <w:rPr>
          <w:lang w:val="fr-FR"/>
        </w:rPr>
        <w:t> Le 23 septembre 2013, la requérant</w:t>
      </w:r>
      <w:r w:rsidR="00C238F2" w:rsidRPr="000142AB">
        <w:rPr>
          <w:lang w:val="fr-FR"/>
        </w:rPr>
        <w:t xml:space="preserve">e demanda au parquet de Rome </w:t>
      </w:r>
      <w:r w:rsidR="002B33F8" w:rsidRPr="000142AB">
        <w:rPr>
          <w:lang w:val="fr-FR"/>
        </w:rPr>
        <w:t>d</w:t>
      </w:r>
      <w:r w:rsidR="00675321" w:rsidRPr="000142AB">
        <w:rPr>
          <w:lang w:val="fr-FR"/>
        </w:rPr>
        <w:t>e l</w:t>
      </w:r>
      <w:r w:rsidR="000142AB" w:rsidRPr="000142AB">
        <w:rPr>
          <w:lang w:val="fr-FR"/>
        </w:rPr>
        <w:t>’</w:t>
      </w:r>
      <w:r w:rsidR="002B33F8" w:rsidRPr="000142AB">
        <w:rPr>
          <w:lang w:val="fr-FR"/>
        </w:rPr>
        <w:t xml:space="preserve">autoriser </w:t>
      </w:r>
      <w:r w:rsidR="00675321" w:rsidRPr="000142AB">
        <w:rPr>
          <w:lang w:val="fr-FR"/>
        </w:rPr>
        <w:t>à accéder</w:t>
      </w:r>
      <w:r w:rsidR="00C238F2" w:rsidRPr="000142AB">
        <w:rPr>
          <w:lang w:val="fr-FR"/>
        </w:rPr>
        <w:t xml:space="preserve"> aux</w:t>
      </w:r>
      <w:r w:rsidRPr="000142AB">
        <w:rPr>
          <w:lang w:val="fr-FR"/>
        </w:rPr>
        <w:t xml:space="preserve"> </w:t>
      </w:r>
      <w:r w:rsidR="008C1F56" w:rsidRPr="000142AB">
        <w:rPr>
          <w:lang w:val="fr-FR"/>
        </w:rPr>
        <w:t>données</w:t>
      </w:r>
      <w:r w:rsidRPr="000142AB">
        <w:rPr>
          <w:lang w:val="fr-FR"/>
        </w:rPr>
        <w:t xml:space="preserve"> des personnes impliquées dans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occupation abusive de </w:t>
      </w:r>
      <w:r w:rsidR="00BE0275" w:rsidRPr="000142AB">
        <w:rPr>
          <w:lang w:val="fr-FR"/>
        </w:rPr>
        <w:t xml:space="preserve">son </w:t>
      </w:r>
      <w:r w:rsidRPr="000142AB">
        <w:rPr>
          <w:lang w:val="fr-FR"/>
        </w:rPr>
        <w:t>immeuble</w:t>
      </w:r>
      <w:r w:rsidR="00C2294D" w:rsidRPr="000142AB">
        <w:rPr>
          <w:lang w:val="fr-FR"/>
        </w:rPr>
        <w:t>, afin</w:t>
      </w:r>
      <w:r w:rsidRPr="000142AB">
        <w:rPr>
          <w:lang w:val="fr-FR"/>
        </w:rPr>
        <w:t xml:space="preserve"> </w:t>
      </w:r>
      <w:r w:rsidR="002B33F8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2B33F8" w:rsidRPr="000142AB">
        <w:rPr>
          <w:lang w:val="fr-FR"/>
        </w:rPr>
        <w:t>elle pût</w:t>
      </w:r>
      <w:r w:rsidRPr="000142AB">
        <w:rPr>
          <w:lang w:val="fr-FR"/>
        </w:rPr>
        <w:t xml:space="preserve"> intenter </w:t>
      </w:r>
      <w:r w:rsidR="00C2294D" w:rsidRPr="000142AB">
        <w:rPr>
          <w:lang w:val="fr-FR"/>
        </w:rPr>
        <w:t>une action</w:t>
      </w:r>
      <w:r w:rsidR="00C238F2" w:rsidRPr="000142AB">
        <w:rPr>
          <w:lang w:val="fr-FR"/>
        </w:rPr>
        <w:t xml:space="preserve"> judiciaire</w:t>
      </w:r>
      <w:r w:rsidRPr="000142AB">
        <w:rPr>
          <w:lang w:val="fr-FR"/>
        </w:rPr>
        <w:t xml:space="preserve"> à leur encontre. Ladite demande fut rejetée le 8 octobre 2013 </w:t>
      </w:r>
      <w:r w:rsidR="00C2294D" w:rsidRPr="000142AB">
        <w:rPr>
          <w:lang w:val="fr-FR"/>
        </w:rPr>
        <w:t>par le parquet.</w:t>
      </w:r>
    </w:p>
    <w:p w:rsidR="00046C9B" w:rsidRPr="000142AB" w:rsidRDefault="00BF3AA0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14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046C9B" w:rsidRPr="000142AB">
        <w:rPr>
          <w:lang w:val="fr-FR"/>
        </w:rPr>
        <w:t xml:space="preserve">Le 3 mars 2015, la requérante </w:t>
      </w:r>
      <w:r w:rsidR="006B6669" w:rsidRPr="000142AB">
        <w:rPr>
          <w:lang w:val="fr-FR"/>
        </w:rPr>
        <w:t>intima</w:t>
      </w:r>
      <w:r w:rsidR="00046C9B" w:rsidRPr="000142AB">
        <w:rPr>
          <w:lang w:val="fr-FR"/>
        </w:rPr>
        <w:t xml:space="preserve"> </w:t>
      </w:r>
      <w:r w:rsidR="00A777AC" w:rsidRPr="000142AB">
        <w:rPr>
          <w:lang w:val="fr-FR"/>
        </w:rPr>
        <w:t xml:space="preserve">à </w:t>
      </w:r>
      <w:r w:rsidR="00046C9B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046C9B" w:rsidRPr="000142AB">
        <w:rPr>
          <w:lang w:val="fr-FR"/>
        </w:rPr>
        <w:t>administration</w:t>
      </w:r>
      <w:r w:rsidR="006B6669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6B6669" w:rsidRPr="000142AB">
        <w:rPr>
          <w:lang w:val="fr-FR"/>
        </w:rPr>
        <w:t xml:space="preserve">exécuter la décision du 9 août 2013. </w:t>
      </w:r>
      <w:r w:rsidR="006B6C99" w:rsidRPr="000142AB">
        <w:rPr>
          <w:lang w:val="fr-FR"/>
        </w:rPr>
        <w:t>Celle-ci</w:t>
      </w:r>
      <w:r w:rsidR="006B6669" w:rsidRPr="000142AB">
        <w:rPr>
          <w:lang w:val="fr-FR"/>
        </w:rPr>
        <w:t xml:space="preserve"> n</w:t>
      </w:r>
      <w:r w:rsidR="000142AB" w:rsidRPr="000142AB">
        <w:rPr>
          <w:lang w:val="fr-FR"/>
        </w:rPr>
        <w:t>’</w:t>
      </w:r>
      <w:r w:rsidR="006B6669" w:rsidRPr="000142AB">
        <w:rPr>
          <w:lang w:val="fr-FR"/>
        </w:rPr>
        <w:t xml:space="preserve">ayant </w:t>
      </w:r>
      <w:r w:rsidR="000562A6" w:rsidRPr="000142AB">
        <w:rPr>
          <w:lang w:val="fr-FR"/>
        </w:rPr>
        <w:t>pas donné suite</w:t>
      </w:r>
      <w:r w:rsidR="00A777AC" w:rsidRPr="000142AB">
        <w:rPr>
          <w:lang w:val="fr-FR"/>
        </w:rPr>
        <w:t xml:space="preserve"> à la demande</w:t>
      </w:r>
      <w:r w:rsidR="000562A6" w:rsidRPr="000142AB">
        <w:rPr>
          <w:lang w:val="fr-FR"/>
        </w:rPr>
        <w:t xml:space="preserve">, </w:t>
      </w:r>
      <w:r w:rsidR="001A3EC5" w:rsidRPr="000142AB">
        <w:rPr>
          <w:lang w:val="fr-FR"/>
        </w:rPr>
        <w:t>la requérante</w:t>
      </w:r>
      <w:r w:rsidR="006B6669" w:rsidRPr="000142AB">
        <w:rPr>
          <w:lang w:val="fr-FR"/>
        </w:rPr>
        <w:t xml:space="preserve"> </w:t>
      </w:r>
      <w:r w:rsidR="001A3EC5" w:rsidRPr="000142AB">
        <w:rPr>
          <w:lang w:val="fr-FR"/>
        </w:rPr>
        <w:t>saisit le tribunal a</w:t>
      </w:r>
      <w:r w:rsidR="00046C9B" w:rsidRPr="000142AB">
        <w:rPr>
          <w:lang w:val="fr-FR"/>
        </w:rPr>
        <w:t xml:space="preserve">dministratif du Latium </w:t>
      </w:r>
      <w:r w:rsidR="00A777AC" w:rsidRPr="000142AB">
        <w:rPr>
          <w:lang w:val="fr-FR"/>
        </w:rPr>
        <w:t xml:space="preserve">le 21 mai 2015 </w:t>
      </w:r>
      <w:r w:rsidR="006B6669" w:rsidRPr="000142AB">
        <w:rPr>
          <w:lang w:val="fr-FR"/>
        </w:rPr>
        <w:t>en se plaignant du silence de l</w:t>
      </w:r>
      <w:r w:rsidR="000142AB" w:rsidRPr="000142AB">
        <w:rPr>
          <w:lang w:val="fr-FR"/>
        </w:rPr>
        <w:t>’</w:t>
      </w:r>
      <w:r w:rsidR="006B6669" w:rsidRPr="000142AB">
        <w:rPr>
          <w:lang w:val="fr-FR"/>
        </w:rPr>
        <w:t>administration.</w:t>
      </w:r>
    </w:p>
    <w:p w:rsidR="0075652F" w:rsidRPr="000142AB" w:rsidRDefault="006B6669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15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Le</w:t>
      </w:r>
      <w:r w:rsidR="00EC47D2" w:rsidRPr="000142AB">
        <w:rPr>
          <w:lang w:val="fr-FR"/>
        </w:rPr>
        <w:t xml:space="preserve"> préfet de Rome </w:t>
      </w:r>
      <w:r w:rsidRPr="000142AB">
        <w:rPr>
          <w:lang w:val="fr-FR"/>
        </w:rPr>
        <w:t>répondit par une note du</w:t>
      </w:r>
      <w:r w:rsidR="00EC47D2" w:rsidRPr="000142AB">
        <w:rPr>
          <w:lang w:val="fr-FR"/>
        </w:rPr>
        <w:t xml:space="preserve"> </w:t>
      </w:r>
      <w:r w:rsidR="00BF3AA0" w:rsidRPr="000142AB">
        <w:rPr>
          <w:lang w:val="fr-FR"/>
        </w:rPr>
        <w:t>17 juin 2015</w:t>
      </w:r>
      <w:r w:rsidRPr="000142AB">
        <w:rPr>
          <w:lang w:val="fr-FR"/>
        </w:rPr>
        <w:t xml:space="preserve">. Il </w:t>
      </w:r>
      <w:r w:rsidR="000B4D8A" w:rsidRPr="000142AB">
        <w:rPr>
          <w:lang w:val="fr-FR"/>
        </w:rPr>
        <w:t>y indiquait</w:t>
      </w:r>
      <w:r w:rsidRPr="000142AB">
        <w:rPr>
          <w:lang w:val="fr-FR"/>
        </w:rPr>
        <w:t xml:space="preserve"> que</w:t>
      </w:r>
      <w:r w:rsidR="00BF3AA0" w:rsidRPr="000142AB">
        <w:rPr>
          <w:lang w:val="fr-FR"/>
        </w:rPr>
        <w:t xml:space="preserve"> </w:t>
      </w:r>
      <w:r w:rsidR="00EC47D2" w:rsidRPr="000142AB">
        <w:rPr>
          <w:lang w:val="fr-FR"/>
        </w:rPr>
        <w:t xml:space="preserve">la situation du bien </w:t>
      </w:r>
      <w:r w:rsidR="00DA0E7B" w:rsidRPr="000142AB">
        <w:rPr>
          <w:lang w:val="fr-FR"/>
        </w:rPr>
        <w:t>de la requérante était</w:t>
      </w:r>
      <w:r w:rsidR="00EC47D2" w:rsidRPr="000142AB">
        <w:rPr>
          <w:lang w:val="fr-FR"/>
        </w:rPr>
        <w:t xml:space="preserve"> similaire à celle d</w:t>
      </w:r>
      <w:r w:rsidR="000142AB" w:rsidRPr="000142AB">
        <w:rPr>
          <w:lang w:val="fr-FR"/>
        </w:rPr>
        <w:t>’</w:t>
      </w:r>
      <w:r w:rsidR="00EC47D2" w:rsidRPr="000142AB">
        <w:rPr>
          <w:lang w:val="fr-FR"/>
        </w:rPr>
        <w:t>une centaine d</w:t>
      </w:r>
      <w:r w:rsidR="000142AB" w:rsidRPr="000142AB">
        <w:rPr>
          <w:lang w:val="fr-FR"/>
        </w:rPr>
        <w:t>’</w:t>
      </w:r>
      <w:r w:rsidR="00EC47D2" w:rsidRPr="000142AB">
        <w:rPr>
          <w:lang w:val="fr-FR"/>
        </w:rPr>
        <w:t>autres immeubles occupés</w:t>
      </w:r>
      <w:r w:rsidR="00393734" w:rsidRPr="000142AB">
        <w:rPr>
          <w:lang w:val="fr-FR"/>
        </w:rPr>
        <w:t xml:space="preserve"> sans titre</w:t>
      </w:r>
      <w:r w:rsidR="00EC47D2" w:rsidRPr="000142AB">
        <w:rPr>
          <w:lang w:val="fr-FR"/>
        </w:rPr>
        <w:t xml:space="preserve"> dans la ville de Rome</w:t>
      </w:r>
      <w:r w:rsidR="00DA0E7B" w:rsidRPr="000142AB">
        <w:rPr>
          <w:lang w:val="fr-FR"/>
        </w:rPr>
        <w:t xml:space="preserve">. </w:t>
      </w:r>
      <w:r w:rsidR="000B4D8A" w:rsidRPr="000142AB">
        <w:rPr>
          <w:lang w:val="fr-FR"/>
        </w:rPr>
        <w:t>Il estimait que, p</w:t>
      </w:r>
      <w:r w:rsidR="006B6C99" w:rsidRPr="000142AB">
        <w:rPr>
          <w:lang w:val="fr-FR"/>
        </w:rPr>
        <w:t>our ce qui était des</w:t>
      </w:r>
      <w:r w:rsidR="00086390" w:rsidRPr="000142AB">
        <w:rPr>
          <w:lang w:val="fr-FR"/>
        </w:rPr>
        <w:t xml:space="preserve"> procédure</w:t>
      </w:r>
      <w:r w:rsidR="00956987" w:rsidRPr="000142AB">
        <w:rPr>
          <w:lang w:val="fr-FR"/>
        </w:rPr>
        <w:t>s</w:t>
      </w:r>
      <w:r w:rsidR="00086390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086390" w:rsidRPr="000142AB">
        <w:rPr>
          <w:lang w:val="fr-FR"/>
        </w:rPr>
        <w:t>expulsion</w:t>
      </w:r>
      <w:r w:rsidR="00DA0E7B" w:rsidRPr="000142AB">
        <w:rPr>
          <w:lang w:val="fr-FR"/>
        </w:rPr>
        <w:t>,</w:t>
      </w:r>
      <w:r w:rsidR="00C238F2" w:rsidRPr="000142AB">
        <w:rPr>
          <w:lang w:val="fr-FR"/>
        </w:rPr>
        <w:t xml:space="preserve"> il</w:t>
      </w:r>
      <w:r w:rsidR="00393734" w:rsidRPr="000142AB">
        <w:rPr>
          <w:lang w:val="fr-FR"/>
        </w:rPr>
        <w:t xml:space="preserve"> était nécessaire</w:t>
      </w:r>
      <w:r w:rsidR="006B6C99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393734" w:rsidRPr="000142AB">
        <w:rPr>
          <w:lang w:val="fr-FR"/>
        </w:rPr>
        <w:t xml:space="preserve">obtenir au préalable de la part de la municipalité des garanties de relogement des personnes </w:t>
      </w:r>
      <w:r w:rsidR="00956987" w:rsidRPr="000142AB">
        <w:rPr>
          <w:lang w:val="fr-FR"/>
        </w:rPr>
        <w:t>évacuées</w:t>
      </w:r>
      <w:r w:rsidR="00393734" w:rsidRPr="000142AB">
        <w:rPr>
          <w:lang w:val="fr-FR"/>
        </w:rPr>
        <w:t xml:space="preserve">. </w:t>
      </w:r>
      <w:r w:rsidR="00BE0275" w:rsidRPr="000142AB">
        <w:rPr>
          <w:lang w:val="fr-FR"/>
        </w:rPr>
        <w:t>S</w:t>
      </w:r>
      <w:r w:rsidR="000B4D8A" w:rsidRPr="000142AB">
        <w:rPr>
          <w:lang w:val="fr-FR"/>
        </w:rPr>
        <w:t xml:space="preserve">elon le préfet, </w:t>
      </w:r>
      <w:r w:rsidR="00BE0275" w:rsidRPr="000142AB">
        <w:rPr>
          <w:lang w:val="fr-FR"/>
        </w:rPr>
        <w:t>en</w:t>
      </w:r>
      <w:r w:rsidR="00393734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393734" w:rsidRPr="000142AB">
        <w:rPr>
          <w:lang w:val="fr-FR"/>
        </w:rPr>
        <w:t xml:space="preserve">absence de telles garanties, il </w:t>
      </w:r>
      <w:r w:rsidR="000B4D8A" w:rsidRPr="000142AB">
        <w:rPr>
          <w:lang w:val="fr-FR"/>
        </w:rPr>
        <w:t xml:space="preserve">lui </w:t>
      </w:r>
      <w:r w:rsidR="00393734" w:rsidRPr="000142AB">
        <w:rPr>
          <w:lang w:val="fr-FR"/>
        </w:rPr>
        <w:t xml:space="preserve">était impossible, </w:t>
      </w:r>
      <w:r w:rsidR="00086390" w:rsidRPr="000142AB">
        <w:rPr>
          <w:lang w:val="fr-FR"/>
        </w:rPr>
        <w:t>au vu</w:t>
      </w:r>
      <w:r w:rsidR="00393734" w:rsidRPr="000142AB">
        <w:rPr>
          <w:lang w:val="fr-FR"/>
        </w:rPr>
        <w:t xml:space="preserve"> </w:t>
      </w:r>
      <w:r w:rsidR="00C238F2" w:rsidRPr="000142AB">
        <w:rPr>
          <w:lang w:val="fr-FR"/>
        </w:rPr>
        <w:t xml:space="preserve">des </w:t>
      </w:r>
      <w:r w:rsidR="00393734" w:rsidRPr="000142AB">
        <w:rPr>
          <w:lang w:val="fr-FR"/>
        </w:rPr>
        <w:t>prérogatives</w:t>
      </w:r>
      <w:r w:rsidR="00C238F2" w:rsidRPr="000142AB">
        <w:rPr>
          <w:lang w:val="fr-FR"/>
        </w:rPr>
        <w:t xml:space="preserve"> qui </w:t>
      </w:r>
      <w:r w:rsidR="0049603C" w:rsidRPr="000142AB">
        <w:rPr>
          <w:lang w:val="fr-FR"/>
        </w:rPr>
        <w:t>étaient</w:t>
      </w:r>
      <w:r w:rsidR="00C238F2" w:rsidRPr="000142AB">
        <w:rPr>
          <w:lang w:val="fr-FR"/>
        </w:rPr>
        <w:t xml:space="preserve"> les siennes</w:t>
      </w:r>
      <w:r w:rsidR="00393734" w:rsidRPr="000142AB">
        <w:rPr>
          <w:lang w:val="fr-FR"/>
        </w:rPr>
        <w:t>, de procéd</w:t>
      </w:r>
      <w:r w:rsidR="004E5B7A" w:rsidRPr="000142AB">
        <w:rPr>
          <w:lang w:val="fr-FR"/>
        </w:rPr>
        <w:t xml:space="preserve">er </w:t>
      </w:r>
      <w:r w:rsidR="00393734" w:rsidRPr="000142AB">
        <w:rPr>
          <w:lang w:val="fr-FR"/>
        </w:rPr>
        <w:t xml:space="preserve">aux expulsions. </w:t>
      </w:r>
      <w:r w:rsidR="000B4D8A" w:rsidRPr="000142AB">
        <w:rPr>
          <w:lang w:val="fr-FR"/>
        </w:rPr>
        <w:t>Le préfet ajoutait que, q</w:t>
      </w:r>
      <w:r w:rsidR="00393734" w:rsidRPr="000142AB">
        <w:rPr>
          <w:lang w:val="fr-FR"/>
        </w:rPr>
        <w:t>uant à l</w:t>
      </w:r>
      <w:r w:rsidR="000142AB" w:rsidRPr="000142AB">
        <w:rPr>
          <w:lang w:val="fr-FR"/>
        </w:rPr>
        <w:t>’</w:t>
      </w:r>
      <w:r w:rsidR="00393734" w:rsidRPr="000142AB">
        <w:rPr>
          <w:lang w:val="fr-FR"/>
        </w:rPr>
        <w:t xml:space="preserve">emploi de la force publique, la loi </w:t>
      </w:r>
      <w:r w:rsidR="000B4D8A" w:rsidRPr="000142AB">
        <w:rPr>
          <w:lang w:val="fr-FR"/>
        </w:rPr>
        <w:t xml:space="preserve">ne </w:t>
      </w:r>
      <w:r w:rsidR="00393734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0B4D8A" w:rsidRPr="000142AB">
        <w:rPr>
          <w:lang w:val="fr-FR"/>
        </w:rPr>
        <w:t>autorisait que</w:t>
      </w:r>
      <w:r w:rsidR="00393734" w:rsidRPr="000142AB">
        <w:rPr>
          <w:lang w:val="fr-FR"/>
        </w:rPr>
        <w:t xml:space="preserve"> </w:t>
      </w:r>
      <w:r w:rsidR="00C238F2" w:rsidRPr="000142AB">
        <w:rPr>
          <w:lang w:val="fr-FR"/>
        </w:rPr>
        <w:t>dans le</w:t>
      </w:r>
      <w:r w:rsidR="00393734" w:rsidRPr="000142AB">
        <w:rPr>
          <w:lang w:val="fr-FR"/>
        </w:rPr>
        <w:t xml:space="preserve"> cas d</w:t>
      </w:r>
      <w:r w:rsidR="000142AB" w:rsidRPr="000142AB">
        <w:rPr>
          <w:lang w:val="fr-FR"/>
        </w:rPr>
        <w:t>’</w:t>
      </w:r>
      <w:r w:rsidR="00393734" w:rsidRPr="000142AB">
        <w:rPr>
          <w:lang w:val="fr-FR"/>
        </w:rPr>
        <w:t>expulsion</w:t>
      </w:r>
      <w:r w:rsidR="004E5B7A" w:rsidRPr="000142AB">
        <w:rPr>
          <w:lang w:val="fr-FR"/>
        </w:rPr>
        <w:t>s</w:t>
      </w:r>
      <w:r w:rsidR="00393734" w:rsidRPr="000142AB">
        <w:rPr>
          <w:lang w:val="fr-FR"/>
        </w:rPr>
        <w:t xml:space="preserve"> de locataires ordonnée</w:t>
      </w:r>
      <w:r w:rsidR="004E5B7A" w:rsidRPr="000142AB">
        <w:rPr>
          <w:lang w:val="fr-FR"/>
        </w:rPr>
        <w:t>s</w:t>
      </w:r>
      <w:r w:rsidR="00393734" w:rsidRPr="000142AB">
        <w:rPr>
          <w:lang w:val="fr-FR"/>
        </w:rPr>
        <w:t xml:space="preserve"> par un tribunal.</w:t>
      </w:r>
    </w:p>
    <w:p w:rsidR="0075652F" w:rsidRPr="000142AB" w:rsidRDefault="00EC47D2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16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Entre-temps, le 15 septembre 2014, la requérante </w:t>
      </w:r>
      <w:r w:rsidR="00BE0275" w:rsidRPr="000142AB">
        <w:rPr>
          <w:lang w:val="fr-FR"/>
        </w:rPr>
        <w:t>s</w:t>
      </w:r>
      <w:r w:rsidR="000142AB" w:rsidRPr="000142AB">
        <w:rPr>
          <w:lang w:val="fr-FR"/>
        </w:rPr>
        <w:t>’</w:t>
      </w:r>
      <w:r w:rsidR="00BE0275" w:rsidRPr="000142AB">
        <w:rPr>
          <w:lang w:val="fr-FR"/>
        </w:rPr>
        <w:t>était vu</w:t>
      </w:r>
      <w:r w:rsidRPr="000142AB">
        <w:rPr>
          <w:lang w:val="fr-FR"/>
        </w:rPr>
        <w:t xml:space="preserve"> notifier </w:t>
      </w:r>
      <w:r w:rsidR="001951E9" w:rsidRPr="000142AB">
        <w:rPr>
          <w:lang w:val="fr-FR"/>
        </w:rPr>
        <w:t>par le</w:t>
      </w:r>
      <w:r w:rsidRPr="000142AB">
        <w:rPr>
          <w:lang w:val="fr-FR"/>
        </w:rPr>
        <w:t xml:space="preserve"> tribunal de </w:t>
      </w:r>
      <w:r w:rsidR="00490EF3" w:rsidRPr="000142AB">
        <w:rPr>
          <w:lang w:val="fr-FR"/>
        </w:rPr>
        <w:t>Rome une injonction de payer 30 </w:t>
      </w:r>
      <w:r w:rsidRPr="000142AB">
        <w:rPr>
          <w:lang w:val="fr-FR"/>
        </w:rPr>
        <w:t>00</w:t>
      </w:r>
      <w:r w:rsidR="00DB55A0" w:rsidRPr="000142AB">
        <w:rPr>
          <w:lang w:val="fr-FR"/>
        </w:rPr>
        <w:t xml:space="preserve">0 </w:t>
      </w:r>
      <w:r w:rsidR="001951E9" w:rsidRPr="000142AB">
        <w:rPr>
          <w:lang w:val="fr-FR"/>
        </w:rPr>
        <w:t>e</w:t>
      </w:r>
      <w:r w:rsidR="00DB55A0" w:rsidRPr="000142AB">
        <w:rPr>
          <w:lang w:val="fr-FR"/>
        </w:rPr>
        <w:t xml:space="preserve">uros environ au titre de </w:t>
      </w:r>
      <w:r w:rsidR="00DA2DF1" w:rsidRPr="000142AB">
        <w:rPr>
          <w:lang w:val="fr-FR"/>
        </w:rPr>
        <w:t xml:space="preserve">la </w:t>
      </w:r>
      <w:r w:rsidRPr="000142AB">
        <w:rPr>
          <w:lang w:val="fr-FR"/>
        </w:rPr>
        <w:t>consommation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énergie électrique </w:t>
      </w:r>
      <w:r w:rsidR="00490EF3" w:rsidRPr="000142AB">
        <w:rPr>
          <w:lang w:val="fr-FR"/>
        </w:rPr>
        <w:t>relative aux</w:t>
      </w:r>
      <w:r w:rsidRPr="000142AB">
        <w:rPr>
          <w:lang w:val="fr-FR"/>
        </w:rPr>
        <w:t xml:space="preserve"> années</w:t>
      </w:r>
      <w:r w:rsidR="001951E9" w:rsidRPr="000142AB">
        <w:rPr>
          <w:lang w:val="fr-FR"/>
        </w:rPr>
        <w:t xml:space="preserve"> </w:t>
      </w:r>
      <w:r w:rsidRPr="000142AB">
        <w:rPr>
          <w:lang w:val="fr-FR"/>
        </w:rPr>
        <w:t>2013 et 2014.</w:t>
      </w:r>
      <w:r w:rsidR="0075652F" w:rsidRPr="000142AB">
        <w:rPr>
          <w:lang w:val="fr-FR"/>
        </w:rPr>
        <w:t xml:space="preserve"> </w:t>
      </w:r>
      <w:r w:rsidR="001D2CEA" w:rsidRPr="000142AB">
        <w:rPr>
          <w:lang w:val="fr-FR"/>
        </w:rPr>
        <w:t xml:space="preserve">Elle forma opposition </w:t>
      </w:r>
      <w:r w:rsidR="00490EF3" w:rsidRPr="000142AB">
        <w:rPr>
          <w:lang w:val="fr-FR"/>
        </w:rPr>
        <w:t>contre</w:t>
      </w:r>
      <w:r w:rsidR="001D2CEA" w:rsidRPr="000142AB">
        <w:rPr>
          <w:lang w:val="fr-FR"/>
        </w:rPr>
        <w:t xml:space="preserve"> cette injonction devant le tribunal de Rome.</w:t>
      </w:r>
      <w:r w:rsidR="006129C3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6129C3" w:rsidRPr="000142AB">
        <w:rPr>
          <w:lang w:val="fr-FR"/>
        </w:rPr>
        <w:t>issue de cette procédure n</w:t>
      </w:r>
      <w:r w:rsidR="000142AB" w:rsidRPr="000142AB">
        <w:rPr>
          <w:lang w:val="fr-FR"/>
        </w:rPr>
        <w:t>’</w:t>
      </w:r>
      <w:r w:rsidR="006129C3" w:rsidRPr="000142AB">
        <w:rPr>
          <w:lang w:val="fr-FR"/>
        </w:rPr>
        <w:t>est pas connue.</w:t>
      </w:r>
    </w:p>
    <w:p w:rsidR="0075652F" w:rsidRPr="000142AB" w:rsidRDefault="00EC47D2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17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166996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0562A6" w:rsidRPr="000142AB">
        <w:rPr>
          <w:lang w:val="fr-FR"/>
        </w:rPr>
        <w:t xml:space="preserve">après une note de la </w:t>
      </w:r>
      <w:r w:rsidR="000D6EF5" w:rsidRPr="000142AB">
        <w:rPr>
          <w:lang w:val="fr-FR"/>
        </w:rPr>
        <w:t>municipalité de Rome datée du 9 </w:t>
      </w:r>
      <w:r w:rsidR="000562A6" w:rsidRPr="000142AB">
        <w:rPr>
          <w:lang w:val="fr-FR"/>
        </w:rPr>
        <w:t>août</w:t>
      </w:r>
      <w:r w:rsidR="000142AB" w:rsidRPr="000142AB">
        <w:rPr>
          <w:lang w:val="fr-FR"/>
        </w:rPr>
        <w:t xml:space="preserve"> </w:t>
      </w:r>
      <w:r w:rsidR="000562A6" w:rsidRPr="000142AB">
        <w:rPr>
          <w:lang w:val="fr-FR"/>
        </w:rPr>
        <w:t>2013,</w:t>
      </w:r>
      <w:r w:rsidRPr="000142AB">
        <w:rPr>
          <w:lang w:val="fr-FR"/>
        </w:rPr>
        <w:t xml:space="preserve"> la requérant</w:t>
      </w:r>
      <w:r w:rsidR="00DB55A0" w:rsidRPr="000142AB">
        <w:rPr>
          <w:lang w:val="fr-FR"/>
        </w:rPr>
        <w:t>e</w:t>
      </w:r>
      <w:r w:rsidRPr="000142AB">
        <w:rPr>
          <w:lang w:val="fr-FR"/>
        </w:rPr>
        <w:t xml:space="preserve"> continue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être redevable vis-à-vis de la municipalité de</w:t>
      </w:r>
      <w:r w:rsidR="00BE0275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impôt foncier</w:t>
      </w:r>
      <w:r w:rsidR="002B19AF" w:rsidRPr="000142AB">
        <w:rPr>
          <w:lang w:val="fr-FR"/>
        </w:rPr>
        <w:t xml:space="preserve"> sur l</w:t>
      </w:r>
      <w:r w:rsidR="000142AB" w:rsidRPr="000142AB">
        <w:rPr>
          <w:lang w:val="fr-FR"/>
        </w:rPr>
        <w:t>’</w:t>
      </w:r>
      <w:r w:rsidR="002B19AF" w:rsidRPr="000142AB">
        <w:rPr>
          <w:lang w:val="fr-FR"/>
        </w:rPr>
        <w:t>immeuble</w:t>
      </w:r>
      <w:r w:rsidR="00490EF3" w:rsidRPr="000142AB">
        <w:rPr>
          <w:lang w:val="fr-FR"/>
        </w:rPr>
        <w:t xml:space="preserve"> occupé</w:t>
      </w:r>
      <w:r w:rsidR="000562A6" w:rsidRPr="000142AB">
        <w:rPr>
          <w:lang w:val="fr-FR"/>
        </w:rPr>
        <w:t xml:space="preserve">, dans la mesure où elle </w:t>
      </w:r>
      <w:r w:rsidR="0049603C" w:rsidRPr="000142AB">
        <w:rPr>
          <w:lang w:val="fr-FR"/>
        </w:rPr>
        <w:t>est</w:t>
      </w:r>
      <w:r w:rsidR="000562A6" w:rsidRPr="000142AB">
        <w:rPr>
          <w:lang w:val="fr-FR"/>
        </w:rPr>
        <w:t xml:space="preserve"> propriétaire du bien et titulaire du droit de possession</w:t>
      </w:r>
      <w:r w:rsidR="004C3B19" w:rsidRPr="000142AB">
        <w:rPr>
          <w:lang w:val="fr-FR"/>
        </w:rPr>
        <w:t xml:space="preserve"> sur celui-ci</w:t>
      </w:r>
      <w:r w:rsidR="00916F94" w:rsidRPr="000142AB">
        <w:rPr>
          <w:lang w:val="fr-FR"/>
        </w:rPr>
        <w:t>.</w:t>
      </w:r>
    </w:p>
    <w:p w:rsidR="009F69B9" w:rsidRPr="000142AB" w:rsidRDefault="009F69B9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18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Il ressort du dossier que, par une note du 30 mars 2016, le préfet </w:t>
      </w:r>
      <w:r w:rsidR="0063584B" w:rsidRPr="000142AB">
        <w:rPr>
          <w:lang w:val="fr-FR"/>
        </w:rPr>
        <w:t xml:space="preserve">a </w:t>
      </w:r>
      <w:r w:rsidR="004161BD" w:rsidRPr="000142AB">
        <w:rPr>
          <w:lang w:val="fr-FR"/>
        </w:rPr>
        <w:t>invit</w:t>
      </w:r>
      <w:r w:rsidR="0063584B" w:rsidRPr="000142AB">
        <w:rPr>
          <w:lang w:val="fr-FR"/>
        </w:rPr>
        <w:t>é</w:t>
      </w:r>
      <w:r w:rsidRPr="000142AB">
        <w:rPr>
          <w:lang w:val="fr-FR"/>
        </w:rPr>
        <w:t xml:space="preserve"> la municipalité de Rome </w:t>
      </w:r>
      <w:r w:rsidR="004161BD" w:rsidRPr="000142AB">
        <w:rPr>
          <w:lang w:val="fr-FR"/>
        </w:rPr>
        <w:t>à</w:t>
      </w:r>
      <w:r w:rsidRPr="000142AB">
        <w:rPr>
          <w:lang w:val="fr-FR"/>
        </w:rPr>
        <w:t xml:space="preserve"> trouver des solutions de relogement pour les occupants </w:t>
      </w:r>
      <w:r w:rsidR="00843E23" w:rsidRPr="000142AB">
        <w:rPr>
          <w:lang w:val="fr-FR"/>
        </w:rPr>
        <w:t>afin de permettre l</w:t>
      </w:r>
      <w:r w:rsidR="00D15DD4" w:rsidRPr="000142AB">
        <w:rPr>
          <w:lang w:val="fr-FR"/>
        </w:rPr>
        <w:t>a libération</w:t>
      </w:r>
      <w:r w:rsidR="00843E23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843E23" w:rsidRPr="000142AB">
        <w:rPr>
          <w:lang w:val="fr-FR"/>
        </w:rPr>
        <w:t>immeuble</w:t>
      </w:r>
      <w:r w:rsidR="00D15DD4" w:rsidRPr="000142AB">
        <w:rPr>
          <w:lang w:val="fr-FR"/>
        </w:rPr>
        <w:t>.</w:t>
      </w:r>
    </w:p>
    <w:p w:rsidR="0075652F" w:rsidRPr="000142AB" w:rsidRDefault="006129C3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19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942C96" w:rsidRPr="000142AB">
        <w:rPr>
          <w:lang w:val="fr-FR"/>
        </w:rPr>
        <w:t>La procédure</w:t>
      </w:r>
      <w:r w:rsidRPr="000142AB">
        <w:rPr>
          <w:lang w:val="fr-FR"/>
        </w:rPr>
        <w:t xml:space="preserve"> en</w:t>
      </w:r>
      <w:r w:rsidR="00A32975" w:rsidRPr="000142AB">
        <w:rPr>
          <w:lang w:val="fr-FR"/>
        </w:rPr>
        <w:t>gagée</w:t>
      </w:r>
      <w:r w:rsidRPr="000142AB">
        <w:rPr>
          <w:lang w:val="fr-FR"/>
        </w:rPr>
        <w:t xml:space="preserve"> à la suite de la plainte </w:t>
      </w:r>
      <w:r w:rsidR="00885CFD" w:rsidRPr="000142AB">
        <w:rPr>
          <w:lang w:val="fr-FR"/>
        </w:rPr>
        <w:t>déposée par</w:t>
      </w:r>
      <w:r w:rsidR="00AD655B" w:rsidRPr="000142AB">
        <w:rPr>
          <w:lang w:val="fr-FR"/>
        </w:rPr>
        <w:t xml:space="preserve"> la requérante </w:t>
      </w:r>
      <w:r w:rsidR="00885CFD" w:rsidRPr="000142AB">
        <w:rPr>
          <w:lang w:val="fr-FR"/>
        </w:rPr>
        <w:t>le</w:t>
      </w:r>
      <w:r w:rsidR="00AD655B" w:rsidRPr="000142AB">
        <w:rPr>
          <w:lang w:val="fr-FR"/>
        </w:rPr>
        <w:t xml:space="preserve"> 6 décembre 2012 </w:t>
      </w:r>
      <w:r w:rsidR="00942C96" w:rsidRPr="000142AB">
        <w:rPr>
          <w:lang w:val="fr-FR"/>
        </w:rPr>
        <w:t xml:space="preserve">est toujours pendante </w:t>
      </w:r>
      <w:r w:rsidR="00675321" w:rsidRPr="000142AB">
        <w:rPr>
          <w:lang w:val="fr-FR"/>
        </w:rPr>
        <w:t>au stade</w:t>
      </w:r>
      <w:r w:rsidR="00942C96" w:rsidRPr="000142AB">
        <w:rPr>
          <w:lang w:val="fr-FR"/>
        </w:rPr>
        <w:t xml:space="preserve"> des investigations préliminaires.</w:t>
      </w:r>
    </w:p>
    <w:p w:rsidR="00E77CB3" w:rsidRPr="000142AB" w:rsidRDefault="00E77CB3" w:rsidP="000142AB">
      <w:pPr>
        <w:pStyle w:val="ECHRHeading1"/>
        <w:rPr>
          <w:lang w:val="fr-FR"/>
        </w:rPr>
      </w:pPr>
      <w:r w:rsidRPr="000142AB">
        <w:rPr>
          <w:lang w:val="fr-FR"/>
        </w:rPr>
        <w:t>II.  LE DROIT INTERNE</w:t>
      </w:r>
      <w:r w:rsidR="00EA1203" w:rsidRPr="000142AB">
        <w:rPr>
          <w:lang w:val="fr-FR"/>
        </w:rPr>
        <w:t xml:space="preserve"> </w:t>
      </w:r>
      <w:r w:rsidRPr="000142AB">
        <w:rPr>
          <w:lang w:val="fr-FR"/>
        </w:rPr>
        <w:t>PERTINENT</w:t>
      </w:r>
    </w:p>
    <w:p w:rsidR="0075652F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20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="0031575E" w:rsidRPr="000142AB">
        <w:rPr>
          <w:lang w:val="fr-FR"/>
        </w:rPr>
        <w:t>Le</w:t>
      </w:r>
      <w:r w:rsidR="00361F8B" w:rsidRPr="000142AB">
        <w:rPr>
          <w:lang w:val="fr-FR"/>
        </w:rPr>
        <w:t xml:space="preserve"> décret n</w:t>
      </w:r>
      <w:r w:rsidR="0075652F" w:rsidRPr="000142AB">
        <w:rPr>
          <w:vertAlign w:val="superscript"/>
          <w:lang w:val="fr-FR"/>
        </w:rPr>
        <w:t>o</w:t>
      </w:r>
      <w:r w:rsidR="00361F8B" w:rsidRPr="000142AB">
        <w:rPr>
          <w:lang w:val="fr-FR"/>
        </w:rPr>
        <w:t xml:space="preserve"> 14 </w:t>
      </w:r>
      <w:r w:rsidR="0031575E" w:rsidRPr="000142AB">
        <w:rPr>
          <w:lang w:val="fr-FR"/>
        </w:rPr>
        <w:t>du 20 février 2017 contient des normes en matière de sécurité urbaine. Son article 11</w:t>
      </w:r>
      <w:r w:rsidR="00361F8B" w:rsidRPr="000142AB">
        <w:rPr>
          <w:lang w:val="fr-FR"/>
        </w:rPr>
        <w:t xml:space="preserve"> concerne</w:t>
      </w:r>
      <w:r w:rsidR="0031575E" w:rsidRPr="000142AB">
        <w:rPr>
          <w:lang w:val="fr-FR"/>
        </w:rPr>
        <w:t xml:space="preserve"> en particulier</w:t>
      </w:r>
      <w:r w:rsidR="00361F8B" w:rsidRPr="000142AB">
        <w:rPr>
          <w:lang w:val="fr-FR"/>
        </w:rPr>
        <w:t xml:space="preserve"> les occupations </w:t>
      </w:r>
      <w:r w:rsidR="00E94372" w:rsidRPr="000142AB">
        <w:rPr>
          <w:lang w:val="fr-FR"/>
        </w:rPr>
        <w:t>abusives d</w:t>
      </w:r>
      <w:r w:rsidR="000142AB" w:rsidRPr="000142AB">
        <w:rPr>
          <w:lang w:val="fr-FR"/>
        </w:rPr>
        <w:t>’</w:t>
      </w:r>
      <w:r w:rsidR="00E94372" w:rsidRPr="000142AB">
        <w:rPr>
          <w:lang w:val="fr-FR"/>
        </w:rPr>
        <w:t xml:space="preserve">immeubles. </w:t>
      </w:r>
      <w:r w:rsidR="00AD5D29" w:rsidRPr="000142AB">
        <w:rPr>
          <w:lang w:val="fr-FR"/>
        </w:rPr>
        <w:t>Le premier alinéa</w:t>
      </w:r>
      <w:r w:rsidR="00361F8B" w:rsidRPr="000142AB">
        <w:rPr>
          <w:lang w:val="fr-FR"/>
        </w:rPr>
        <w:t xml:space="preserve"> confère au </w:t>
      </w:r>
      <w:r w:rsidR="00F32FEB" w:rsidRPr="000142AB">
        <w:rPr>
          <w:lang w:val="fr-FR"/>
        </w:rPr>
        <w:t>p</w:t>
      </w:r>
      <w:r w:rsidR="00361F8B" w:rsidRPr="000142AB">
        <w:rPr>
          <w:lang w:val="fr-FR"/>
        </w:rPr>
        <w:t>réfet</w:t>
      </w:r>
      <w:r w:rsidR="009F16FB" w:rsidRPr="000142AB">
        <w:rPr>
          <w:lang w:val="fr-FR"/>
        </w:rPr>
        <w:t xml:space="preserve"> le pouvoir </w:t>
      </w:r>
      <w:r w:rsidR="00294D4B" w:rsidRPr="000142AB">
        <w:rPr>
          <w:lang w:val="fr-FR"/>
        </w:rPr>
        <w:t xml:space="preserve">de faire </w:t>
      </w:r>
      <w:r w:rsidR="009F16FB" w:rsidRPr="000142AB">
        <w:rPr>
          <w:lang w:val="fr-FR"/>
        </w:rPr>
        <w:t xml:space="preserve">exécuter les décisions judiciaires relatives aux occupations abusives, </w:t>
      </w:r>
      <w:r w:rsidR="00FE6E15" w:rsidRPr="000142AB">
        <w:rPr>
          <w:lang w:val="fr-FR"/>
        </w:rPr>
        <w:t xml:space="preserve">y compris en recourant à </w:t>
      </w:r>
      <w:r w:rsidR="009F16FB" w:rsidRPr="000142AB">
        <w:rPr>
          <w:lang w:val="fr-FR"/>
        </w:rPr>
        <w:t xml:space="preserve">la force publique, </w:t>
      </w:r>
      <w:r w:rsidR="00294D4B" w:rsidRPr="000142AB">
        <w:rPr>
          <w:lang w:val="fr-FR"/>
        </w:rPr>
        <w:t xml:space="preserve">et </w:t>
      </w:r>
      <w:r w:rsidR="00AD5D29" w:rsidRPr="000142AB">
        <w:rPr>
          <w:lang w:val="fr-FR"/>
        </w:rPr>
        <w:t xml:space="preserve">de </w:t>
      </w:r>
      <w:r w:rsidR="00BE0275" w:rsidRPr="000142AB">
        <w:rPr>
          <w:lang w:val="fr-FR"/>
        </w:rPr>
        <w:t xml:space="preserve">déterminer </w:t>
      </w:r>
      <w:r w:rsidR="00294D4B" w:rsidRPr="000142AB">
        <w:rPr>
          <w:lang w:val="fr-FR"/>
        </w:rPr>
        <w:t xml:space="preserve">les modalités des </w:t>
      </w:r>
      <w:r w:rsidR="00294D4B" w:rsidRPr="000142AB">
        <w:rPr>
          <w:lang w:val="fr-FR"/>
        </w:rPr>
        <w:lastRenderedPageBreak/>
        <w:t xml:space="preserve">expulsions </w:t>
      </w:r>
      <w:r w:rsidR="009F16FB" w:rsidRPr="000142AB">
        <w:rPr>
          <w:lang w:val="fr-FR"/>
        </w:rPr>
        <w:t>en veil</w:t>
      </w:r>
      <w:r w:rsidR="00FE6E15" w:rsidRPr="000142AB">
        <w:rPr>
          <w:lang w:val="fr-FR"/>
        </w:rPr>
        <w:t>lant à garantir l</w:t>
      </w:r>
      <w:r w:rsidR="000142AB" w:rsidRPr="000142AB">
        <w:rPr>
          <w:lang w:val="fr-FR"/>
        </w:rPr>
        <w:t>’</w:t>
      </w:r>
      <w:r w:rsidR="00FE6E15" w:rsidRPr="000142AB">
        <w:rPr>
          <w:lang w:val="fr-FR"/>
        </w:rPr>
        <w:t>ordre public et les intérêts des pe</w:t>
      </w:r>
      <w:r w:rsidR="009B5590" w:rsidRPr="000142AB">
        <w:rPr>
          <w:lang w:val="fr-FR"/>
        </w:rPr>
        <w:t xml:space="preserve">rsonnes vulnérables impliquées. </w:t>
      </w:r>
      <w:r w:rsidR="00624283" w:rsidRPr="000142AB">
        <w:rPr>
          <w:lang w:val="fr-FR"/>
        </w:rPr>
        <w:t>En cas d</w:t>
      </w:r>
      <w:r w:rsidR="000142AB" w:rsidRPr="000142AB">
        <w:rPr>
          <w:lang w:val="fr-FR"/>
        </w:rPr>
        <w:t>’</w:t>
      </w:r>
      <w:r w:rsidR="00624283" w:rsidRPr="000142AB">
        <w:rPr>
          <w:lang w:val="fr-FR"/>
        </w:rPr>
        <w:t>annulation par</w:t>
      </w:r>
      <w:r w:rsidR="00FE6E15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FE6E15" w:rsidRPr="000142AB">
        <w:rPr>
          <w:lang w:val="fr-FR"/>
        </w:rPr>
        <w:t xml:space="preserve">autorité judiciaire </w:t>
      </w:r>
      <w:r w:rsidR="00624283" w:rsidRPr="000142AB">
        <w:rPr>
          <w:lang w:val="fr-FR"/>
        </w:rPr>
        <w:t>des</w:t>
      </w:r>
      <w:r w:rsidR="00FE6E15" w:rsidRPr="000142AB">
        <w:rPr>
          <w:lang w:val="fr-FR"/>
        </w:rPr>
        <w:t xml:space="preserve"> décisions </w:t>
      </w:r>
      <w:r w:rsidR="00AD5D29" w:rsidRPr="000142AB">
        <w:rPr>
          <w:lang w:val="fr-FR"/>
        </w:rPr>
        <w:t>prises par le</w:t>
      </w:r>
      <w:r w:rsidR="00FE6E15" w:rsidRPr="000142AB">
        <w:rPr>
          <w:lang w:val="fr-FR"/>
        </w:rPr>
        <w:t xml:space="preserve"> </w:t>
      </w:r>
      <w:r w:rsidR="00F32FEB" w:rsidRPr="000142AB">
        <w:rPr>
          <w:lang w:val="fr-FR"/>
        </w:rPr>
        <w:t>p</w:t>
      </w:r>
      <w:r w:rsidR="00FE6E15" w:rsidRPr="000142AB">
        <w:rPr>
          <w:lang w:val="fr-FR"/>
        </w:rPr>
        <w:t>réfet</w:t>
      </w:r>
      <w:r w:rsidR="00AD5D29" w:rsidRPr="000142AB">
        <w:rPr>
          <w:lang w:val="fr-FR"/>
        </w:rPr>
        <w:t xml:space="preserve"> aux termes du premier alinéa</w:t>
      </w:r>
      <w:r w:rsidR="00FE6E15" w:rsidRPr="000142AB">
        <w:rPr>
          <w:lang w:val="fr-FR"/>
        </w:rPr>
        <w:t>,</w:t>
      </w:r>
      <w:r w:rsidR="006B5139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6B5139" w:rsidRPr="000142AB">
        <w:rPr>
          <w:lang w:val="fr-FR"/>
        </w:rPr>
        <w:t>administration a l</w:t>
      </w:r>
      <w:r w:rsidR="000142AB" w:rsidRPr="000142AB">
        <w:rPr>
          <w:lang w:val="fr-FR"/>
        </w:rPr>
        <w:t>’</w:t>
      </w:r>
      <w:r w:rsidR="006B5139" w:rsidRPr="000142AB">
        <w:rPr>
          <w:lang w:val="fr-FR"/>
        </w:rPr>
        <w:t xml:space="preserve">obligation de </w:t>
      </w:r>
      <w:r w:rsidR="0049603C" w:rsidRPr="000142AB">
        <w:rPr>
          <w:lang w:val="fr-FR"/>
        </w:rPr>
        <w:t>prendre</w:t>
      </w:r>
      <w:r w:rsidR="006B5139" w:rsidRPr="000142AB">
        <w:rPr>
          <w:lang w:val="fr-FR"/>
        </w:rPr>
        <w:t xml:space="preserve"> les mesures nécessaires pour garantir la cessation de l</w:t>
      </w:r>
      <w:r w:rsidR="000142AB" w:rsidRPr="000142AB">
        <w:rPr>
          <w:lang w:val="fr-FR"/>
        </w:rPr>
        <w:t>’</w:t>
      </w:r>
      <w:r w:rsidR="006B5139" w:rsidRPr="000142AB">
        <w:rPr>
          <w:lang w:val="fr-FR"/>
        </w:rPr>
        <w:t xml:space="preserve">occupation abusive. Un </w:t>
      </w:r>
      <w:r w:rsidR="00294D4B" w:rsidRPr="000142AB">
        <w:rPr>
          <w:lang w:val="fr-FR"/>
        </w:rPr>
        <w:t xml:space="preserve">dédommagement </w:t>
      </w:r>
      <w:r w:rsidR="006B5139" w:rsidRPr="000142AB">
        <w:rPr>
          <w:lang w:val="fr-FR"/>
        </w:rPr>
        <w:t xml:space="preserve">pour le propriétaire du bien </w:t>
      </w:r>
      <w:r w:rsidR="00294D4B" w:rsidRPr="000142AB">
        <w:rPr>
          <w:lang w:val="fr-FR"/>
        </w:rPr>
        <w:t>est prévu en cas de dol ou</w:t>
      </w:r>
      <w:r w:rsidR="009B5590" w:rsidRPr="000142AB">
        <w:rPr>
          <w:lang w:val="fr-FR"/>
        </w:rPr>
        <w:t xml:space="preserve"> de</w:t>
      </w:r>
      <w:r w:rsidR="00294D4B" w:rsidRPr="000142AB">
        <w:rPr>
          <w:lang w:val="fr-FR"/>
        </w:rPr>
        <w:t xml:space="preserve"> faute grave</w:t>
      </w:r>
      <w:r w:rsidR="006B5139" w:rsidRPr="000142AB">
        <w:rPr>
          <w:lang w:val="fr-FR"/>
        </w:rPr>
        <w:t xml:space="preserve"> du </w:t>
      </w:r>
      <w:r w:rsidR="00F32FEB" w:rsidRPr="000142AB">
        <w:rPr>
          <w:lang w:val="fr-FR"/>
        </w:rPr>
        <w:t>p</w:t>
      </w:r>
      <w:r w:rsidR="006B5139" w:rsidRPr="000142AB">
        <w:rPr>
          <w:lang w:val="fr-FR"/>
        </w:rPr>
        <w:t>réfet</w:t>
      </w:r>
      <w:r w:rsidR="00294D4B" w:rsidRPr="000142AB">
        <w:rPr>
          <w:lang w:val="fr-FR"/>
        </w:rPr>
        <w:t>.</w:t>
      </w:r>
    </w:p>
    <w:p w:rsidR="00497B6D" w:rsidRPr="000142AB" w:rsidRDefault="00E77CB3" w:rsidP="000142AB">
      <w:pPr>
        <w:pStyle w:val="ECHRTitle1"/>
        <w:tabs>
          <w:tab w:val="left" w:pos="5387"/>
        </w:tabs>
        <w:rPr>
          <w:lang w:val="fr-FR"/>
        </w:rPr>
      </w:pPr>
      <w:r w:rsidRPr="000142AB">
        <w:rPr>
          <w:lang w:val="fr-FR"/>
        </w:rPr>
        <w:t>EN DROIT</w:t>
      </w:r>
    </w:p>
    <w:p w:rsidR="0075652F" w:rsidRPr="000142AB" w:rsidRDefault="00497B6D" w:rsidP="000142AB">
      <w:pPr>
        <w:pStyle w:val="ECHRHeading1"/>
        <w:rPr>
          <w:lang w:val="fr-FR"/>
        </w:rPr>
      </w:pPr>
      <w:r w:rsidRPr="000142AB">
        <w:rPr>
          <w:lang w:val="fr-FR"/>
        </w:rPr>
        <w:t>I.</w:t>
      </w:r>
      <w:r w:rsidR="00E77CB3" w:rsidRPr="000142AB">
        <w:rPr>
          <w:lang w:val="fr-FR"/>
        </w:rPr>
        <w:t xml:space="preserve">  SUR </w:t>
      </w:r>
      <w:r w:rsidR="00812BC7" w:rsidRPr="000142AB">
        <w:rPr>
          <w:lang w:val="fr-FR"/>
        </w:rPr>
        <w:t>LES</w:t>
      </w:r>
      <w:r w:rsidR="00E77CB3" w:rsidRPr="000142AB">
        <w:rPr>
          <w:lang w:val="fr-FR"/>
        </w:rPr>
        <w:t xml:space="preserve"> VIOLATION</w:t>
      </w:r>
      <w:r w:rsidR="00812BC7" w:rsidRPr="000142AB">
        <w:rPr>
          <w:lang w:val="fr-FR"/>
        </w:rPr>
        <w:t>S</w:t>
      </w:r>
      <w:r w:rsidR="00E77CB3" w:rsidRPr="000142AB">
        <w:rPr>
          <w:lang w:val="fr-FR"/>
        </w:rPr>
        <w:t xml:space="preserve"> ALLÉGUÉE</w:t>
      </w:r>
      <w:r w:rsidR="00812BC7" w:rsidRPr="000142AB">
        <w:rPr>
          <w:lang w:val="fr-FR"/>
        </w:rPr>
        <w:t>S</w:t>
      </w:r>
      <w:r w:rsidR="00E77CB3" w:rsidRPr="000142AB">
        <w:rPr>
          <w:lang w:val="fr-FR"/>
        </w:rPr>
        <w:t xml:space="preserve"> </w:t>
      </w:r>
      <w:r w:rsidR="00A66C7D" w:rsidRPr="000142AB">
        <w:rPr>
          <w:lang w:val="fr-FR"/>
        </w:rPr>
        <w:t>DE</w:t>
      </w:r>
      <w:r w:rsidR="00F32FEB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A66C7D" w:rsidRPr="000142AB">
        <w:rPr>
          <w:lang w:val="fr-FR"/>
        </w:rPr>
        <w:t xml:space="preserve">ARTICLE </w:t>
      </w:r>
      <w:r w:rsidR="007D74E2" w:rsidRPr="000142AB">
        <w:rPr>
          <w:lang w:val="fr-FR"/>
        </w:rPr>
        <w:t xml:space="preserve">6 DE LA CONVENTION ET </w:t>
      </w:r>
      <w:r w:rsidR="00F32FEB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F32FEB" w:rsidRPr="000142AB">
        <w:rPr>
          <w:lang w:val="fr-FR"/>
        </w:rPr>
        <w:t xml:space="preserve">ARTICLE </w:t>
      </w:r>
      <w:r w:rsidR="00A45F93" w:rsidRPr="000142AB">
        <w:rPr>
          <w:lang w:val="fr-FR"/>
        </w:rPr>
        <w:t>1 DU PROTOCOLE N</w:t>
      </w:r>
      <w:r w:rsidR="0075652F" w:rsidRPr="000142AB">
        <w:rPr>
          <w:vertAlign w:val="superscript"/>
          <w:lang w:val="fr-FR"/>
        </w:rPr>
        <w:t>o</w:t>
      </w:r>
      <w:r w:rsidR="00A45F93" w:rsidRPr="000142AB">
        <w:rPr>
          <w:lang w:val="fr-FR"/>
        </w:rPr>
        <w:t xml:space="preserve"> 1</w:t>
      </w:r>
      <w:r w:rsidR="00F32FEB" w:rsidRPr="000142AB">
        <w:rPr>
          <w:lang w:val="fr-FR"/>
        </w:rPr>
        <w:t xml:space="preserve"> </w:t>
      </w:r>
      <w:r w:rsidR="00F32FEB" w:rsidRPr="000142AB">
        <w:rPr>
          <w:rFonts w:cstheme="majorHAnsi"/>
          <w:lang w:val="fr-FR"/>
        </w:rPr>
        <w:t>À</w:t>
      </w:r>
      <w:r w:rsidR="00F32FEB" w:rsidRPr="000142AB">
        <w:rPr>
          <w:lang w:val="fr-FR"/>
        </w:rPr>
        <w:t xml:space="preserve"> LA CONVENTION</w:t>
      </w:r>
    </w:p>
    <w:p w:rsidR="007D74E2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21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="00DF0BD2" w:rsidRPr="000142AB">
        <w:rPr>
          <w:lang w:val="fr-FR"/>
        </w:rPr>
        <w:t xml:space="preserve">La requérante </w:t>
      </w:r>
      <w:r w:rsidR="007D74E2" w:rsidRPr="000142AB">
        <w:rPr>
          <w:lang w:val="fr-FR"/>
        </w:rPr>
        <w:t xml:space="preserve">se plaint de la non-exécution de la décision du juge des investigations préliminaires du 9 août 2013 </w:t>
      </w:r>
      <w:r w:rsidR="00F32FEB" w:rsidRPr="000142AB">
        <w:rPr>
          <w:lang w:val="fr-FR"/>
        </w:rPr>
        <w:t xml:space="preserve">ayant </w:t>
      </w:r>
      <w:r w:rsidR="007D74E2" w:rsidRPr="000142AB">
        <w:rPr>
          <w:lang w:val="fr-FR"/>
        </w:rPr>
        <w:t>ordonn</w:t>
      </w:r>
      <w:r w:rsidR="00F32FEB" w:rsidRPr="000142AB">
        <w:rPr>
          <w:lang w:val="fr-FR"/>
        </w:rPr>
        <w:t>é</w:t>
      </w:r>
      <w:r w:rsidR="007D74E2" w:rsidRPr="000142AB">
        <w:rPr>
          <w:lang w:val="fr-FR"/>
        </w:rPr>
        <w:t xml:space="preserve"> la saisie et</w:t>
      </w:r>
      <w:r w:rsidR="00F32FEB" w:rsidRPr="000142AB">
        <w:rPr>
          <w:lang w:val="fr-FR"/>
        </w:rPr>
        <w:t xml:space="preserve"> –</w:t>
      </w:r>
      <w:r w:rsidR="007D74E2" w:rsidRPr="000142AB">
        <w:rPr>
          <w:lang w:val="fr-FR"/>
        </w:rPr>
        <w:t xml:space="preserve"> </w:t>
      </w:r>
      <w:r w:rsidR="00F32FEB" w:rsidRPr="000142AB">
        <w:rPr>
          <w:lang w:val="fr-FR"/>
        </w:rPr>
        <w:t>par suite –</w:t>
      </w:r>
      <w:r w:rsidR="007D74E2" w:rsidRPr="000142AB">
        <w:rPr>
          <w:lang w:val="fr-FR"/>
        </w:rPr>
        <w:t xml:space="preserve"> </w:t>
      </w:r>
      <w:r w:rsidR="00432F7D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432F7D" w:rsidRPr="000142AB">
        <w:rPr>
          <w:lang w:val="fr-FR"/>
        </w:rPr>
        <w:t>évacuation</w:t>
      </w:r>
      <w:r w:rsidR="007D74E2" w:rsidRPr="000142AB">
        <w:rPr>
          <w:lang w:val="fr-FR"/>
        </w:rPr>
        <w:t xml:space="preserve"> de son immeuble. </w:t>
      </w:r>
      <w:r w:rsidR="00F32FEB" w:rsidRPr="000142AB">
        <w:rPr>
          <w:lang w:val="fr-FR"/>
        </w:rPr>
        <w:t xml:space="preserve">Elle </w:t>
      </w:r>
      <w:r w:rsidR="007D74E2" w:rsidRPr="000142AB">
        <w:rPr>
          <w:lang w:val="fr-FR"/>
        </w:rPr>
        <w:t>invoque son droit à une protection judiciaire effective garanti</w:t>
      </w:r>
      <w:r w:rsidR="00F32FEB" w:rsidRPr="000142AB">
        <w:rPr>
          <w:lang w:val="fr-FR"/>
        </w:rPr>
        <w:t>e</w:t>
      </w:r>
      <w:r w:rsidR="007D74E2" w:rsidRPr="000142AB">
        <w:rPr>
          <w:lang w:val="fr-FR"/>
        </w:rPr>
        <w:t xml:space="preserve"> par l</w:t>
      </w:r>
      <w:r w:rsidR="000142AB" w:rsidRPr="000142AB">
        <w:rPr>
          <w:lang w:val="fr-FR"/>
        </w:rPr>
        <w:t>’</w:t>
      </w:r>
      <w:r w:rsidR="007D74E2" w:rsidRPr="000142AB">
        <w:rPr>
          <w:lang w:val="fr-FR"/>
        </w:rPr>
        <w:t>article 6 § 1 de la Convention</w:t>
      </w:r>
      <w:r w:rsidR="00F32FEB" w:rsidRPr="000142AB">
        <w:rPr>
          <w:lang w:val="fr-FR"/>
        </w:rPr>
        <w:t>, qui est</w:t>
      </w:r>
      <w:r w:rsidR="007D74E2" w:rsidRPr="000142AB">
        <w:rPr>
          <w:lang w:val="fr-FR"/>
        </w:rPr>
        <w:t xml:space="preserve"> ainsi libellé</w:t>
      </w:r>
      <w:r w:rsidR="00F32FEB" w:rsidRPr="000142AB">
        <w:rPr>
          <w:lang w:val="fr-FR"/>
        </w:rPr>
        <w:t> :</w:t>
      </w:r>
    </w:p>
    <w:p w:rsidR="00A45F93" w:rsidRPr="000142AB" w:rsidRDefault="007D74E2" w:rsidP="000142AB">
      <w:pPr>
        <w:pStyle w:val="ECHRParaQuote"/>
        <w:rPr>
          <w:lang w:val="fr-FR"/>
        </w:rPr>
      </w:pPr>
      <w:r w:rsidRPr="000142AB">
        <w:rPr>
          <w:lang w:val="fr-FR"/>
        </w:rPr>
        <w:t>«</w:t>
      </w:r>
      <w:r w:rsidR="002A5873" w:rsidRPr="000142AB">
        <w:rPr>
          <w:lang w:val="fr-FR"/>
        </w:rPr>
        <w:t> </w:t>
      </w:r>
      <w:r w:rsidRPr="000142AB">
        <w:rPr>
          <w:lang w:val="fr-FR"/>
        </w:rPr>
        <w:t>Toute personne a droit à ce que sa cause soit entendue (...) dans un délai raisonnable, par un tribunal (...), qui décidera (...) des contestations sur ses droits et obligations de caractère civil (...)</w:t>
      </w:r>
      <w:r w:rsidR="002A5873" w:rsidRPr="000142AB">
        <w:rPr>
          <w:lang w:val="fr-FR"/>
        </w:rPr>
        <w:t> </w:t>
      </w:r>
      <w:r w:rsidRPr="000142AB">
        <w:rPr>
          <w:lang w:val="fr-FR"/>
        </w:rPr>
        <w:t>»</w:t>
      </w:r>
    </w:p>
    <w:p w:rsidR="007D74E2" w:rsidRPr="000142AB" w:rsidRDefault="00C14ECB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22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812BC7" w:rsidRPr="000142AB">
        <w:rPr>
          <w:lang w:val="fr-FR"/>
        </w:rPr>
        <w:t xml:space="preserve">La requérante </w:t>
      </w:r>
      <w:r w:rsidR="007D74E2" w:rsidRPr="000142AB">
        <w:rPr>
          <w:lang w:val="fr-FR"/>
        </w:rPr>
        <w:t>allègue ensuite que l</w:t>
      </w:r>
      <w:r w:rsidR="000142AB" w:rsidRPr="000142AB">
        <w:rPr>
          <w:lang w:val="fr-FR"/>
        </w:rPr>
        <w:t>’</w:t>
      </w:r>
      <w:r w:rsidR="007D74E2" w:rsidRPr="000142AB">
        <w:rPr>
          <w:lang w:val="fr-FR"/>
        </w:rPr>
        <w:t xml:space="preserve">impossibilité prolongée </w:t>
      </w:r>
      <w:r w:rsidR="00E82227" w:rsidRPr="000142AB">
        <w:rPr>
          <w:lang w:val="fr-FR"/>
        </w:rPr>
        <w:t xml:space="preserve">qui lui </w:t>
      </w:r>
      <w:r w:rsidR="00432F7D" w:rsidRPr="000142AB">
        <w:rPr>
          <w:lang w:val="fr-FR"/>
        </w:rPr>
        <w:t>serait</w:t>
      </w:r>
      <w:r w:rsidR="00E82227" w:rsidRPr="000142AB">
        <w:rPr>
          <w:lang w:val="fr-FR"/>
        </w:rPr>
        <w:t xml:space="preserve"> faite </w:t>
      </w:r>
      <w:r w:rsidR="007D74E2" w:rsidRPr="000142AB">
        <w:rPr>
          <w:lang w:val="fr-FR"/>
        </w:rPr>
        <w:t>de rentrer en possession de son immeuble occupé sans titre par des tiers constitue une violation de son droit au respect de ses biens tel que prévu par l</w:t>
      </w:r>
      <w:r w:rsidR="000142AB" w:rsidRPr="000142AB">
        <w:rPr>
          <w:lang w:val="fr-FR"/>
        </w:rPr>
        <w:t>’</w:t>
      </w:r>
      <w:r w:rsidR="007D74E2" w:rsidRPr="000142AB">
        <w:rPr>
          <w:lang w:val="fr-FR"/>
        </w:rPr>
        <w:t>article 1 du Protocole n</w:t>
      </w:r>
      <w:r w:rsidR="0075652F" w:rsidRPr="000142AB">
        <w:rPr>
          <w:vertAlign w:val="superscript"/>
          <w:lang w:val="fr-FR"/>
        </w:rPr>
        <w:t>o</w:t>
      </w:r>
      <w:r w:rsidR="007D74E2" w:rsidRPr="000142AB">
        <w:rPr>
          <w:lang w:val="fr-FR"/>
        </w:rPr>
        <w:t xml:space="preserve"> 1</w:t>
      </w:r>
      <w:r w:rsidR="00E82227" w:rsidRPr="000142AB">
        <w:rPr>
          <w:lang w:val="fr-FR"/>
        </w:rPr>
        <w:t>. Cette disposition est</w:t>
      </w:r>
      <w:r w:rsidR="007D74E2" w:rsidRPr="000142AB">
        <w:rPr>
          <w:lang w:val="fr-FR"/>
        </w:rPr>
        <w:t xml:space="preserve"> ainsi libellé</w:t>
      </w:r>
      <w:r w:rsidR="00E82227" w:rsidRPr="000142AB">
        <w:rPr>
          <w:lang w:val="fr-FR"/>
        </w:rPr>
        <w:t>e</w:t>
      </w:r>
      <w:r w:rsidR="007D74E2" w:rsidRPr="000142AB">
        <w:rPr>
          <w:lang w:val="fr-FR"/>
        </w:rPr>
        <w:t> :</w:t>
      </w:r>
    </w:p>
    <w:p w:rsidR="007D74E2" w:rsidRPr="000142AB" w:rsidRDefault="007D74E2" w:rsidP="000142AB">
      <w:pPr>
        <w:pStyle w:val="ECHRParaQuote"/>
        <w:rPr>
          <w:lang w:val="fr-FR"/>
        </w:rPr>
      </w:pPr>
      <w:r w:rsidRPr="000142AB">
        <w:rPr>
          <w:lang w:val="fr-FR"/>
        </w:rPr>
        <w:t>« Toute personne physique ou morale a droit au respect de ses biens. Nul ne peut être privé de sa propriété que pour cause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utilité publique et dans les conditions prévues par la loi et les principes généraux du droit international.</w:t>
      </w:r>
    </w:p>
    <w:p w:rsidR="007D74E2" w:rsidRPr="000142AB" w:rsidRDefault="007D74E2" w:rsidP="000142AB">
      <w:pPr>
        <w:pStyle w:val="ECHRParaQuote"/>
        <w:rPr>
          <w:lang w:val="fr-FR"/>
        </w:rPr>
      </w:pPr>
      <w:r w:rsidRPr="000142AB">
        <w:rPr>
          <w:lang w:val="fr-FR"/>
        </w:rPr>
        <w:t xml:space="preserve">Les dispositions précédentes ne portent pas atteinte au droit que possèdent les </w:t>
      </w:r>
      <w:r w:rsidR="00CB5CBB" w:rsidRPr="000142AB">
        <w:rPr>
          <w:lang w:val="fr-FR"/>
        </w:rPr>
        <w:t>É</w:t>
      </w:r>
      <w:r w:rsidRPr="000142AB">
        <w:rPr>
          <w:lang w:val="fr-FR"/>
        </w:rPr>
        <w:t>tats de mettre en vigueur les lois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ils jugent nécessaires pour réglementer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usage des biens conformément à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intérêt général ou pour assurer le paiement des impôts ou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autres contributions ou des amendes. »</w:t>
      </w:r>
    </w:p>
    <w:p w:rsidR="00E77CB3" w:rsidRPr="000142AB" w:rsidRDefault="00E77CB3" w:rsidP="000142AB">
      <w:pPr>
        <w:pStyle w:val="ECHRHeading2"/>
        <w:rPr>
          <w:lang w:val="fr-FR"/>
        </w:rPr>
      </w:pPr>
      <w:r w:rsidRPr="000142AB">
        <w:rPr>
          <w:lang w:val="fr-FR"/>
        </w:rPr>
        <w:t>A.  Sur la recevabilité</w:t>
      </w:r>
    </w:p>
    <w:p w:rsidR="00BC13A3" w:rsidRPr="000142AB" w:rsidRDefault="000976C8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166996" w:rsidRPr="000142AB">
        <w:rPr>
          <w:lang w:val="fr-FR"/>
        </w:rPr>
        <w:t>Le</w:t>
      </w:r>
      <w:r w:rsidR="00F703F6" w:rsidRPr="000142AB">
        <w:rPr>
          <w:lang w:val="fr-FR"/>
        </w:rPr>
        <w:t xml:space="preserve"> Gouvernement</w:t>
      </w:r>
      <w:r w:rsidR="003C4D45" w:rsidRPr="000142AB">
        <w:rPr>
          <w:lang w:val="fr-FR"/>
        </w:rPr>
        <w:t xml:space="preserve"> indiqu</w:t>
      </w:r>
      <w:r w:rsidR="00F112C5" w:rsidRPr="000142AB">
        <w:rPr>
          <w:lang w:val="fr-FR"/>
        </w:rPr>
        <w:t>e</w:t>
      </w:r>
      <w:r w:rsidR="00F703F6" w:rsidRPr="000142AB">
        <w:rPr>
          <w:lang w:val="fr-FR"/>
        </w:rPr>
        <w:t xml:space="preserve"> que la requérante n</w:t>
      </w:r>
      <w:r w:rsidR="000142AB" w:rsidRPr="000142AB">
        <w:rPr>
          <w:lang w:val="fr-FR"/>
        </w:rPr>
        <w:t>’</w:t>
      </w:r>
      <w:r w:rsidR="00F703F6" w:rsidRPr="000142AB">
        <w:rPr>
          <w:lang w:val="fr-FR"/>
        </w:rPr>
        <w:t xml:space="preserve">a pas </w:t>
      </w:r>
      <w:r w:rsidR="00CD2D71" w:rsidRPr="000142AB">
        <w:rPr>
          <w:lang w:val="fr-FR"/>
        </w:rPr>
        <w:t>fait valoir</w:t>
      </w:r>
      <w:r w:rsidR="00F703F6" w:rsidRPr="000142AB">
        <w:rPr>
          <w:lang w:val="fr-FR"/>
        </w:rPr>
        <w:t xml:space="preserve"> </w:t>
      </w:r>
      <w:r w:rsidR="007D0613" w:rsidRPr="000142AB">
        <w:rPr>
          <w:lang w:val="fr-FR"/>
        </w:rPr>
        <w:t xml:space="preserve">devant le juge civil </w:t>
      </w:r>
      <w:r w:rsidR="00F703F6" w:rsidRPr="000142AB">
        <w:rPr>
          <w:lang w:val="fr-FR"/>
        </w:rPr>
        <w:t>son droit au respect de sa propriété</w:t>
      </w:r>
      <w:r w:rsidR="003C4D45" w:rsidRPr="000142AB">
        <w:rPr>
          <w:lang w:val="fr-FR"/>
        </w:rPr>
        <w:t xml:space="preserve"> et que, </w:t>
      </w:r>
      <w:r w:rsidR="00F112C5" w:rsidRPr="000142AB">
        <w:rPr>
          <w:lang w:val="fr-FR"/>
        </w:rPr>
        <w:t>de plus,</w:t>
      </w:r>
      <w:r w:rsidR="00CD2D71" w:rsidRPr="000142AB">
        <w:rPr>
          <w:lang w:val="fr-FR"/>
        </w:rPr>
        <w:t xml:space="preserve"> elle n</w:t>
      </w:r>
      <w:r w:rsidR="000142AB" w:rsidRPr="000142AB">
        <w:rPr>
          <w:lang w:val="fr-FR"/>
        </w:rPr>
        <w:t>’</w:t>
      </w:r>
      <w:r w:rsidR="00CD2D71" w:rsidRPr="000142AB">
        <w:rPr>
          <w:lang w:val="fr-FR"/>
        </w:rPr>
        <w:t xml:space="preserve">a </w:t>
      </w:r>
      <w:r w:rsidR="00F703F6" w:rsidRPr="000142AB">
        <w:rPr>
          <w:lang w:val="fr-FR"/>
        </w:rPr>
        <w:t xml:space="preserve">pas démontré </w:t>
      </w:r>
      <w:r w:rsidR="003C4D45" w:rsidRPr="000142AB">
        <w:rPr>
          <w:lang w:val="fr-FR"/>
        </w:rPr>
        <w:t xml:space="preserve">son </w:t>
      </w:r>
      <w:r w:rsidR="00F703F6" w:rsidRPr="000142AB">
        <w:rPr>
          <w:lang w:val="fr-FR"/>
        </w:rPr>
        <w:t>intention d</w:t>
      </w:r>
      <w:r w:rsidR="000142AB" w:rsidRPr="000142AB">
        <w:rPr>
          <w:lang w:val="fr-FR"/>
        </w:rPr>
        <w:t>’</w:t>
      </w:r>
      <w:r w:rsidR="00F703F6" w:rsidRPr="000142AB">
        <w:rPr>
          <w:lang w:val="fr-FR"/>
        </w:rPr>
        <w:t xml:space="preserve">utiliser son immeuble après la cessation </w:t>
      </w:r>
      <w:r w:rsidR="006C14E0" w:rsidRPr="000142AB">
        <w:rPr>
          <w:lang w:val="fr-FR"/>
        </w:rPr>
        <w:t>des relations contractuelles</w:t>
      </w:r>
      <w:r w:rsidR="00F703F6" w:rsidRPr="000142AB">
        <w:rPr>
          <w:lang w:val="fr-FR"/>
        </w:rPr>
        <w:t xml:space="preserve"> avec l</w:t>
      </w:r>
      <w:r w:rsidR="000142AB" w:rsidRPr="000142AB">
        <w:rPr>
          <w:lang w:val="fr-FR"/>
        </w:rPr>
        <w:t>’</w:t>
      </w:r>
      <w:r w:rsidR="00F703F6" w:rsidRPr="000142AB">
        <w:rPr>
          <w:lang w:val="fr-FR"/>
        </w:rPr>
        <w:t>hôpital</w:t>
      </w:r>
      <w:r w:rsidR="00BC13A3" w:rsidRPr="000142AB">
        <w:rPr>
          <w:lang w:val="fr-FR"/>
        </w:rPr>
        <w:t xml:space="preserve"> San Filippo Neri</w:t>
      </w:r>
      <w:r w:rsidR="003C4D45" w:rsidRPr="000142AB">
        <w:rPr>
          <w:lang w:val="fr-FR"/>
        </w:rPr>
        <w:t>.</w:t>
      </w:r>
    </w:p>
    <w:p w:rsidR="0075652F" w:rsidRPr="000142AB" w:rsidRDefault="009A22D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24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FB304F" w:rsidRPr="000142AB">
        <w:rPr>
          <w:lang w:val="fr-FR"/>
        </w:rPr>
        <w:t xml:space="preserve">Le Gouvernement </w:t>
      </w:r>
      <w:r w:rsidR="00166996" w:rsidRPr="000142AB">
        <w:rPr>
          <w:lang w:val="fr-FR"/>
        </w:rPr>
        <w:t>observe</w:t>
      </w:r>
      <w:r w:rsidR="00B36347" w:rsidRPr="000142AB">
        <w:rPr>
          <w:lang w:val="fr-FR"/>
        </w:rPr>
        <w:t xml:space="preserve"> aussi</w:t>
      </w:r>
      <w:r w:rsidR="00FB304F" w:rsidRPr="000142AB">
        <w:rPr>
          <w:lang w:val="fr-FR"/>
        </w:rPr>
        <w:t xml:space="preserve"> que </w:t>
      </w:r>
      <w:r w:rsidR="00F703F6" w:rsidRPr="000142AB">
        <w:rPr>
          <w:lang w:val="fr-FR"/>
        </w:rPr>
        <w:t>la requérante a attendu deux ans avant d</w:t>
      </w:r>
      <w:r w:rsidR="000142AB" w:rsidRPr="000142AB">
        <w:rPr>
          <w:lang w:val="fr-FR"/>
        </w:rPr>
        <w:t>’</w:t>
      </w:r>
      <w:r w:rsidR="00F703F6" w:rsidRPr="000142AB">
        <w:rPr>
          <w:lang w:val="fr-FR"/>
        </w:rPr>
        <w:t>introduire</w:t>
      </w:r>
      <w:r w:rsidR="00B36347" w:rsidRPr="000142AB">
        <w:rPr>
          <w:lang w:val="fr-FR"/>
        </w:rPr>
        <w:t>,</w:t>
      </w:r>
      <w:r w:rsidR="00F703F6" w:rsidRPr="000142AB">
        <w:rPr>
          <w:lang w:val="fr-FR"/>
        </w:rPr>
        <w:t xml:space="preserve"> le 25 mai 2015</w:t>
      </w:r>
      <w:r w:rsidR="00B36347" w:rsidRPr="000142AB">
        <w:rPr>
          <w:lang w:val="fr-FR"/>
        </w:rPr>
        <w:t>, un recours</w:t>
      </w:r>
      <w:r w:rsidR="00F703F6" w:rsidRPr="000142AB">
        <w:rPr>
          <w:lang w:val="fr-FR"/>
        </w:rPr>
        <w:t xml:space="preserve"> devant le tribunal administratif </w:t>
      </w:r>
      <w:r w:rsidR="00FB304F" w:rsidRPr="000142AB">
        <w:rPr>
          <w:lang w:val="fr-FR"/>
        </w:rPr>
        <w:t>pour</w:t>
      </w:r>
      <w:r w:rsidR="00F703F6" w:rsidRPr="000142AB">
        <w:rPr>
          <w:lang w:val="fr-FR"/>
        </w:rPr>
        <w:t xml:space="preserve"> se plaindre de l</w:t>
      </w:r>
      <w:r w:rsidR="000142AB" w:rsidRPr="000142AB">
        <w:rPr>
          <w:lang w:val="fr-FR"/>
        </w:rPr>
        <w:t>’</w:t>
      </w:r>
      <w:r w:rsidR="00F703F6" w:rsidRPr="000142AB">
        <w:rPr>
          <w:lang w:val="fr-FR"/>
        </w:rPr>
        <w:t>i</w:t>
      </w:r>
      <w:r w:rsidR="00374D84" w:rsidRPr="000142AB">
        <w:rPr>
          <w:lang w:val="fr-FR"/>
        </w:rPr>
        <w:t>naction de l</w:t>
      </w:r>
      <w:r w:rsidR="000142AB" w:rsidRPr="000142AB">
        <w:rPr>
          <w:lang w:val="fr-FR"/>
        </w:rPr>
        <w:t>’</w:t>
      </w:r>
      <w:r w:rsidR="00374D84" w:rsidRPr="000142AB">
        <w:rPr>
          <w:lang w:val="fr-FR"/>
        </w:rPr>
        <w:t>administration</w:t>
      </w:r>
      <w:r w:rsidR="00F703F6" w:rsidRPr="000142AB">
        <w:rPr>
          <w:lang w:val="fr-FR"/>
        </w:rPr>
        <w:t>.</w:t>
      </w:r>
      <w:r w:rsidR="00115DB8" w:rsidRPr="000142AB">
        <w:rPr>
          <w:lang w:val="fr-FR"/>
        </w:rPr>
        <w:t xml:space="preserve"> </w:t>
      </w:r>
      <w:r w:rsidR="00FB304F" w:rsidRPr="000142AB">
        <w:rPr>
          <w:lang w:val="fr-FR"/>
        </w:rPr>
        <w:t>Il</w:t>
      </w:r>
      <w:r w:rsidR="00F703F6" w:rsidRPr="000142AB">
        <w:rPr>
          <w:lang w:val="fr-FR"/>
        </w:rPr>
        <w:t xml:space="preserve"> en </w:t>
      </w:r>
      <w:r w:rsidR="009E606B" w:rsidRPr="000142AB">
        <w:rPr>
          <w:lang w:val="fr-FR"/>
        </w:rPr>
        <w:t xml:space="preserve">déduit </w:t>
      </w:r>
      <w:r w:rsidR="009E606B" w:rsidRPr="000142AB">
        <w:rPr>
          <w:lang w:val="fr-FR"/>
        </w:rPr>
        <w:lastRenderedPageBreak/>
        <w:t>que</w:t>
      </w:r>
      <w:r w:rsidR="00115DB8" w:rsidRPr="000142AB">
        <w:rPr>
          <w:lang w:val="fr-FR"/>
        </w:rPr>
        <w:t>,</w:t>
      </w:r>
      <w:r w:rsidR="009E606B" w:rsidRPr="000142AB">
        <w:rPr>
          <w:lang w:val="fr-FR"/>
        </w:rPr>
        <w:t xml:space="preserve"> </w:t>
      </w:r>
      <w:r w:rsidR="00115DB8" w:rsidRPr="000142AB">
        <w:rPr>
          <w:lang w:val="fr-FR"/>
        </w:rPr>
        <w:t xml:space="preserve">avant de saisir la Cour, </w:t>
      </w:r>
      <w:r w:rsidR="00B36347" w:rsidRPr="000142AB">
        <w:rPr>
          <w:lang w:val="fr-FR"/>
        </w:rPr>
        <w:t xml:space="preserve">elle </w:t>
      </w:r>
      <w:r w:rsidR="009E606B" w:rsidRPr="000142AB">
        <w:rPr>
          <w:lang w:val="fr-FR"/>
        </w:rPr>
        <w:t>ne s</w:t>
      </w:r>
      <w:r w:rsidR="000142AB" w:rsidRPr="000142AB">
        <w:rPr>
          <w:lang w:val="fr-FR"/>
        </w:rPr>
        <w:t>’</w:t>
      </w:r>
      <w:r w:rsidR="009E606B" w:rsidRPr="000142AB">
        <w:rPr>
          <w:lang w:val="fr-FR"/>
        </w:rPr>
        <w:t xml:space="preserve">est pas </w:t>
      </w:r>
      <w:r w:rsidR="00355888" w:rsidRPr="000142AB">
        <w:rPr>
          <w:lang w:val="fr-FR"/>
        </w:rPr>
        <w:t>pleinement</w:t>
      </w:r>
      <w:r w:rsidR="00E47EFD" w:rsidRPr="000142AB">
        <w:rPr>
          <w:lang w:val="fr-FR"/>
        </w:rPr>
        <w:t xml:space="preserve"> et correctement</w:t>
      </w:r>
      <w:r w:rsidR="00355888" w:rsidRPr="000142AB">
        <w:rPr>
          <w:lang w:val="fr-FR"/>
        </w:rPr>
        <w:t xml:space="preserve"> </w:t>
      </w:r>
      <w:r w:rsidR="009E606B" w:rsidRPr="000142AB">
        <w:rPr>
          <w:lang w:val="fr-FR"/>
        </w:rPr>
        <w:t xml:space="preserve">prévalue </w:t>
      </w:r>
      <w:r w:rsidR="00E47EFD" w:rsidRPr="000142AB">
        <w:rPr>
          <w:lang w:val="fr-FR"/>
        </w:rPr>
        <w:t>des</w:t>
      </w:r>
      <w:r w:rsidR="009E606B" w:rsidRPr="000142AB">
        <w:rPr>
          <w:lang w:val="fr-FR"/>
        </w:rPr>
        <w:t xml:space="preserve"> voies de recours </w:t>
      </w:r>
      <w:r w:rsidR="00734866" w:rsidRPr="000142AB">
        <w:rPr>
          <w:lang w:val="fr-FR"/>
        </w:rPr>
        <w:t xml:space="preserve">mises à </w:t>
      </w:r>
      <w:r w:rsidR="009E606B" w:rsidRPr="000142AB">
        <w:rPr>
          <w:lang w:val="fr-FR"/>
        </w:rPr>
        <w:t>sa disposition</w:t>
      </w:r>
      <w:r w:rsidR="00734866" w:rsidRPr="000142AB">
        <w:rPr>
          <w:lang w:val="fr-FR"/>
        </w:rPr>
        <w:t xml:space="preserve"> par le droit interne</w:t>
      </w:r>
      <w:r w:rsidR="009E606B" w:rsidRPr="000142AB">
        <w:rPr>
          <w:lang w:val="fr-FR"/>
        </w:rPr>
        <w:t>.</w:t>
      </w:r>
    </w:p>
    <w:p w:rsidR="001F4BC4" w:rsidRPr="000142AB" w:rsidRDefault="001F4BC4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25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Enfin, le Gouvernement fait référence </w:t>
      </w:r>
      <w:r w:rsidR="00AF2C8A" w:rsidRPr="000142AB">
        <w:rPr>
          <w:lang w:val="fr-FR"/>
        </w:rPr>
        <w:t>au</w:t>
      </w:r>
      <w:r w:rsidRPr="000142AB">
        <w:rPr>
          <w:lang w:val="fr-FR"/>
        </w:rPr>
        <w:t xml:space="preserve"> décret-loi n</w:t>
      </w:r>
      <w:r w:rsidR="0075652F" w:rsidRPr="000142AB">
        <w:rPr>
          <w:vertAlign w:val="superscript"/>
          <w:lang w:val="fr-FR"/>
        </w:rPr>
        <w:t>o</w:t>
      </w:r>
      <w:r w:rsidR="00EB0AB4" w:rsidRPr="000142AB">
        <w:rPr>
          <w:vertAlign w:val="superscript"/>
          <w:lang w:val="fr-FR"/>
        </w:rPr>
        <w:t> </w:t>
      </w:r>
      <w:r w:rsidRPr="000142AB">
        <w:rPr>
          <w:lang w:val="fr-FR"/>
        </w:rPr>
        <w:t>14 du 20</w:t>
      </w:r>
      <w:r w:rsidR="00EB0AB4" w:rsidRPr="000142AB">
        <w:rPr>
          <w:lang w:val="fr-FR"/>
        </w:rPr>
        <w:t> </w:t>
      </w:r>
      <w:r w:rsidRPr="000142AB">
        <w:rPr>
          <w:lang w:val="fr-FR"/>
        </w:rPr>
        <w:t>février</w:t>
      </w:r>
      <w:r w:rsidR="000142AB" w:rsidRPr="000142AB">
        <w:rPr>
          <w:lang w:val="fr-FR"/>
        </w:rPr>
        <w:t xml:space="preserve"> </w:t>
      </w:r>
      <w:r w:rsidRPr="000142AB">
        <w:rPr>
          <w:lang w:val="fr-FR"/>
        </w:rPr>
        <w:t xml:space="preserve">2017 </w:t>
      </w:r>
      <w:r w:rsidR="007A24AC" w:rsidRPr="000142AB">
        <w:rPr>
          <w:lang w:val="fr-FR"/>
        </w:rPr>
        <w:t>et à la protection juridictionnelle</w:t>
      </w:r>
      <w:r w:rsidR="00A17202" w:rsidRPr="000142AB">
        <w:rPr>
          <w:lang w:val="fr-FR"/>
        </w:rPr>
        <w:t xml:space="preserve"> offerte aux</w:t>
      </w:r>
      <w:r w:rsidR="007A24AC" w:rsidRPr="000142AB">
        <w:rPr>
          <w:lang w:val="fr-FR"/>
        </w:rPr>
        <w:t xml:space="preserve"> propriétaires </w:t>
      </w:r>
      <w:r w:rsidR="00A17202" w:rsidRPr="000142AB">
        <w:rPr>
          <w:lang w:val="fr-FR"/>
        </w:rPr>
        <w:t>des biens occupés.</w:t>
      </w:r>
    </w:p>
    <w:p w:rsidR="007411CE" w:rsidRPr="000142AB" w:rsidRDefault="00115DB8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26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La requérante </w:t>
      </w:r>
      <w:r w:rsidR="00734866" w:rsidRPr="000142AB">
        <w:rPr>
          <w:lang w:val="fr-FR"/>
        </w:rPr>
        <w:t>réfute</w:t>
      </w:r>
      <w:r w:rsidR="00A86E48" w:rsidRPr="000142AB">
        <w:rPr>
          <w:lang w:val="fr-FR"/>
        </w:rPr>
        <w:t xml:space="preserve"> </w:t>
      </w:r>
      <w:r w:rsidR="00FA1611" w:rsidRPr="000142AB">
        <w:rPr>
          <w:lang w:val="fr-FR"/>
        </w:rPr>
        <w:t xml:space="preserve">les arguments du </w:t>
      </w:r>
      <w:r w:rsidR="00812BC7" w:rsidRPr="000142AB">
        <w:rPr>
          <w:lang w:val="fr-FR"/>
        </w:rPr>
        <w:t>Gouvernement</w:t>
      </w:r>
      <w:r w:rsidR="00FA1611" w:rsidRPr="000142AB">
        <w:rPr>
          <w:lang w:val="fr-FR"/>
        </w:rPr>
        <w:t xml:space="preserve">. Elle </w:t>
      </w:r>
      <w:r w:rsidR="00FB304F" w:rsidRPr="000142AB">
        <w:rPr>
          <w:lang w:val="fr-FR"/>
        </w:rPr>
        <w:t xml:space="preserve">soutient </w:t>
      </w:r>
      <w:r w:rsidR="00BC13A3" w:rsidRPr="000142AB">
        <w:rPr>
          <w:lang w:val="fr-FR"/>
        </w:rPr>
        <w:t>tout d</w:t>
      </w:r>
      <w:r w:rsidR="000142AB" w:rsidRPr="000142AB">
        <w:rPr>
          <w:lang w:val="fr-FR"/>
        </w:rPr>
        <w:t>’</w:t>
      </w:r>
      <w:r w:rsidR="00BC13A3" w:rsidRPr="000142AB">
        <w:rPr>
          <w:lang w:val="fr-FR"/>
        </w:rPr>
        <w:t>abord</w:t>
      </w:r>
      <w:r w:rsidR="00FA1611" w:rsidRPr="000142AB">
        <w:rPr>
          <w:lang w:val="fr-FR"/>
        </w:rPr>
        <w:t xml:space="preserve"> </w:t>
      </w:r>
      <w:r w:rsidR="00355888" w:rsidRPr="000142AB">
        <w:rPr>
          <w:lang w:val="fr-FR"/>
        </w:rPr>
        <w:t xml:space="preserve">avoir </w:t>
      </w:r>
      <w:r w:rsidR="00734866" w:rsidRPr="000142AB">
        <w:rPr>
          <w:lang w:val="fr-FR"/>
        </w:rPr>
        <w:t>fait valoir sans tarder ses droits de propriété sur l</w:t>
      </w:r>
      <w:r w:rsidR="000142AB" w:rsidRPr="000142AB">
        <w:rPr>
          <w:lang w:val="fr-FR"/>
        </w:rPr>
        <w:t>’</w:t>
      </w:r>
      <w:r w:rsidR="00734866" w:rsidRPr="000142AB">
        <w:rPr>
          <w:lang w:val="fr-FR"/>
        </w:rPr>
        <w:t>immeuble dans la mesure où elle a</w:t>
      </w:r>
      <w:r w:rsidR="00FB304F" w:rsidRPr="000142AB">
        <w:rPr>
          <w:lang w:val="fr-FR"/>
        </w:rPr>
        <w:t>urait</w:t>
      </w:r>
      <w:r w:rsidR="00734866" w:rsidRPr="000142AB">
        <w:rPr>
          <w:lang w:val="fr-FR"/>
        </w:rPr>
        <w:t xml:space="preserve"> </w:t>
      </w:r>
      <w:r w:rsidR="00355888" w:rsidRPr="000142AB">
        <w:rPr>
          <w:lang w:val="fr-FR"/>
        </w:rPr>
        <w:t>porté plainte contre l</w:t>
      </w:r>
      <w:r w:rsidR="000142AB" w:rsidRPr="000142AB">
        <w:rPr>
          <w:lang w:val="fr-FR"/>
        </w:rPr>
        <w:t>’</w:t>
      </w:r>
      <w:r w:rsidR="00F95C11" w:rsidRPr="000142AB">
        <w:rPr>
          <w:lang w:val="fr-FR"/>
        </w:rPr>
        <w:t>occupation</w:t>
      </w:r>
      <w:r w:rsidR="00FA1611" w:rsidRPr="000142AB">
        <w:rPr>
          <w:lang w:val="fr-FR"/>
        </w:rPr>
        <w:t xml:space="preserve"> </w:t>
      </w:r>
      <w:r w:rsidR="00F95C11" w:rsidRPr="000142AB">
        <w:rPr>
          <w:lang w:val="fr-FR"/>
        </w:rPr>
        <w:t>abusive</w:t>
      </w:r>
      <w:r w:rsidR="00E23D9C" w:rsidRPr="000142AB">
        <w:rPr>
          <w:lang w:val="fr-FR"/>
        </w:rPr>
        <w:t xml:space="preserve"> de son bien</w:t>
      </w:r>
      <w:r w:rsidR="00F95C11" w:rsidRPr="000142AB">
        <w:rPr>
          <w:lang w:val="fr-FR"/>
        </w:rPr>
        <w:t xml:space="preserve"> </w:t>
      </w:r>
      <w:r w:rsidR="007411CE" w:rsidRPr="000142AB">
        <w:rPr>
          <w:lang w:val="fr-FR"/>
        </w:rPr>
        <w:t xml:space="preserve">le jour </w:t>
      </w:r>
      <w:r w:rsidR="00355888" w:rsidRPr="000142AB">
        <w:rPr>
          <w:lang w:val="fr-FR"/>
        </w:rPr>
        <w:t xml:space="preserve">même </w:t>
      </w:r>
      <w:r w:rsidR="007411CE" w:rsidRPr="000142AB">
        <w:rPr>
          <w:lang w:val="fr-FR"/>
        </w:rPr>
        <w:t>des faits</w:t>
      </w:r>
      <w:r w:rsidR="00734866" w:rsidRPr="000142AB">
        <w:rPr>
          <w:lang w:val="fr-FR"/>
        </w:rPr>
        <w:t xml:space="preserve">, </w:t>
      </w:r>
      <w:r w:rsidR="00FB304F" w:rsidRPr="000142AB">
        <w:rPr>
          <w:lang w:val="fr-FR"/>
        </w:rPr>
        <w:t xml:space="preserve">à savoir </w:t>
      </w:r>
      <w:r w:rsidR="00EB0AB4" w:rsidRPr="000142AB">
        <w:rPr>
          <w:lang w:val="fr-FR"/>
        </w:rPr>
        <w:t>le 6 </w:t>
      </w:r>
      <w:r w:rsidR="00734866" w:rsidRPr="000142AB">
        <w:rPr>
          <w:lang w:val="fr-FR"/>
        </w:rPr>
        <w:t>décembre</w:t>
      </w:r>
      <w:r w:rsidR="00EB0AB4" w:rsidRPr="000142AB">
        <w:rPr>
          <w:lang w:val="fr-FR"/>
        </w:rPr>
        <w:t> </w:t>
      </w:r>
      <w:r w:rsidR="00734866" w:rsidRPr="000142AB">
        <w:rPr>
          <w:lang w:val="fr-FR"/>
        </w:rPr>
        <w:t xml:space="preserve">2012. </w:t>
      </w:r>
      <w:r w:rsidR="001E1824" w:rsidRPr="000142AB">
        <w:rPr>
          <w:lang w:val="fr-FR"/>
        </w:rPr>
        <w:t>Elle indique e</w:t>
      </w:r>
      <w:r w:rsidR="007411CE" w:rsidRPr="000142AB">
        <w:rPr>
          <w:lang w:val="fr-FR"/>
        </w:rPr>
        <w:t>nsuite</w:t>
      </w:r>
      <w:r w:rsidR="001E1824" w:rsidRPr="000142AB">
        <w:rPr>
          <w:lang w:val="fr-FR"/>
        </w:rPr>
        <w:t xml:space="preserve"> que</w:t>
      </w:r>
      <w:r w:rsidR="007411CE" w:rsidRPr="000142AB">
        <w:rPr>
          <w:lang w:val="fr-FR"/>
        </w:rPr>
        <w:t xml:space="preserve">, </w:t>
      </w:r>
      <w:r w:rsidR="00500D3B" w:rsidRPr="000142AB">
        <w:rPr>
          <w:lang w:val="fr-FR"/>
        </w:rPr>
        <w:t xml:space="preserve">en mai 2015, </w:t>
      </w:r>
      <w:r w:rsidR="00355888" w:rsidRPr="000142AB">
        <w:rPr>
          <w:lang w:val="fr-FR"/>
        </w:rPr>
        <w:t xml:space="preserve">elle a été contrainte de saisir le tribunal administratif </w:t>
      </w:r>
      <w:r w:rsidR="00734866" w:rsidRPr="000142AB">
        <w:rPr>
          <w:lang w:val="fr-FR"/>
        </w:rPr>
        <w:t xml:space="preserve">régional </w:t>
      </w:r>
      <w:r w:rsidR="00355888" w:rsidRPr="000142AB">
        <w:rPr>
          <w:lang w:val="fr-FR"/>
        </w:rPr>
        <w:t xml:space="preserve">compte tenu </w:t>
      </w:r>
      <w:r w:rsidR="000A02D7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0A02D7" w:rsidRPr="000142AB">
        <w:rPr>
          <w:lang w:val="fr-FR"/>
        </w:rPr>
        <w:t>inaction</w:t>
      </w:r>
      <w:r w:rsidR="00355888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355888" w:rsidRPr="000142AB">
        <w:rPr>
          <w:lang w:val="fr-FR"/>
        </w:rPr>
        <w:t xml:space="preserve">administration </w:t>
      </w:r>
      <w:r w:rsidR="00B36347" w:rsidRPr="000142AB">
        <w:rPr>
          <w:lang w:val="fr-FR"/>
        </w:rPr>
        <w:t>en dépit</w:t>
      </w:r>
      <w:r w:rsidR="003045D9" w:rsidRPr="000142AB">
        <w:rPr>
          <w:lang w:val="fr-FR"/>
        </w:rPr>
        <w:t xml:space="preserve"> de ses nombreuses sollicitations visant</w:t>
      </w:r>
      <w:r w:rsidR="00500D3B" w:rsidRPr="000142AB">
        <w:rPr>
          <w:lang w:val="fr-FR"/>
        </w:rPr>
        <w:t xml:space="preserve"> à obtenir</w:t>
      </w:r>
      <w:r w:rsidR="003045D9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3045D9" w:rsidRPr="000142AB">
        <w:rPr>
          <w:lang w:val="fr-FR"/>
        </w:rPr>
        <w:t>exécution de la saisie provisoire de l</w:t>
      </w:r>
      <w:r w:rsidR="000142AB" w:rsidRPr="000142AB">
        <w:rPr>
          <w:lang w:val="fr-FR"/>
        </w:rPr>
        <w:t>’</w:t>
      </w:r>
      <w:r w:rsidR="003045D9" w:rsidRPr="000142AB">
        <w:rPr>
          <w:lang w:val="fr-FR"/>
        </w:rPr>
        <w:t>immeuble</w:t>
      </w:r>
      <w:r w:rsidR="00500D3B" w:rsidRPr="000142AB">
        <w:rPr>
          <w:lang w:val="fr-FR"/>
        </w:rPr>
        <w:t>, ordonnée en août 2013</w:t>
      </w:r>
      <w:r w:rsidR="00734866" w:rsidRPr="000142AB">
        <w:rPr>
          <w:lang w:val="fr-FR"/>
        </w:rPr>
        <w:t xml:space="preserve"> par le juge des investigations préliminaires de Rome</w:t>
      </w:r>
      <w:r w:rsidR="003045D9" w:rsidRPr="000142AB">
        <w:rPr>
          <w:lang w:val="fr-FR"/>
        </w:rPr>
        <w:t>.</w:t>
      </w:r>
    </w:p>
    <w:p w:rsidR="00E23D9C" w:rsidRPr="000142AB" w:rsidRDefault="00443379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27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1E1824" w:rsidRPr="000142AB">
        <w:rPr>
          <w:lang w:val="fr-FR"/>
        </w:rPr>
        <w:t>La requérante répète</w:t>
      </w:r>
      <w:r w:rsidR="00D8089C" w:rsidRPr="000142AB">
        <w:rPr>
          <w:lang w:val="fr-FR"/>
        </w:rPr>
        <w:t xml:space="preserve"> que le droit interne ne lui a pas offert de recours </w:t>
      </w:r>
      <w:r w:rsidR="009A22DD" w:rsidRPr="000142AB">
        <w:rPr>
          <w:lang w:val="fr-FR"/>
        </w:rPr>
        <w:t xml:space="preserve">effectif </w:t>
      </w:r>
      <w:r w:rsidR="001E1824" w:rsidRPr="000142AB">
        <w:rPr>
          <w:lang w:val="fr-FR"/>
        </w:rPr>
        <w:t xml:space="preserve">susceptible de lui permettre de </w:t>
      </w:r>
      <w:r w:rsidR="00D8089C" w:rsidRPr="000142AB">
        <w:rPr>
          <w:lang w:val="fr-FR"/>
        </w:rPr>
        <w:t xml:space="preserve">faire </w:t>
      </w:r>
      <w:r w:rsidR="00E23D9C" w:rsidRPr="000142AB">
        <w:rPr>
          <w:lang w:val="fr-FR"/>
        </w:rPr>
        <w:t xml:space="preserve">valoir ses droits. </w:t>
      </w:r>
      <w:r w:rsidR="00B1507B" w:rsidRPr="000142AB">
        <w:rPr>
          <w:lang w:val="fr-FR"/>
        </w:rPr>
        <w:t>Elle en veut pour preuve que</w:t>
      </w:r>
      <w:r w:rsidR="00D8089C" w:rsidRPr="000142AB">
        <w:rPr>
          <w:lang w:val="fr-FR"/>
        </w:rPr>
        <w:t xml:space="preserve"> c</w:t>
      </w:r>
      <w:r w:rsidR="00500D3B" w:rsidRPr="000142AB">
        <w:rPr>
          <w:lang w:val="fr-FR"/>
        </w:rPr>
        <w:t>e n</w:t>
      </w:r>
      <w:r w:rsidR="000142AB" w:rsidRPr="000142AB">
        <w:rPr>
          <w:lang w:val="fr-FR"/>
        </w:rPr>
        <w:t>’</w:t>
      </w:r>
      <w:r w:rsidR="00500D3B" w:rsidRPr="000142AB">
        <w:rPr>
          <w:lang w:val="fr-FR"/>
        </w:rPr>
        <w:t xml:space="preserve">est que le 30 mars </w:t>
      </w:r>
      <w:r w:rsidR="00D8089C" w:rsidRPr="000142AB">
        <w:rPr>
          <w:lang w:val="fr-FR"/>
        </w:rPr>
        <w:t>2016</w:t>
      </w:r>
      <w:r w:rsidR="00622FFC" w:rsidRPr="000142AB">
        <w:rPr>
          <w:lang w:val="fr-FR"/>
        </w:rPr>
        <w:t xml:space="preserve">, soit plus de trois ans après </w:t>
      </w:r>
      <w:r w:rsidR="005534DA" w:rsidRPr="000142AB">
        <w:rPr>
          <w:lang w:val="fr-FR"/>
        </w:rPr>
        <w:t>le début de l</w:t>
      </w:r>
      <w:r w:rsidR="000142AB" w:rsidRPr="000142AB">
        <w:rPr>
          <w:lang w:val="fr-FR"/>
        </w:rPr>
        <w:t>’</w:t>
      </w:r>
      <w:r w:rsidR="005534DA" w:rsidRPr="000142AB">
        <w:rPr>
          <w:lang w:val="fr-FR"/>
        </w:rPr>
        <w:t>occupation</w:t>
      </w:r>
      <w:r w:rsidR="00675321" w:rsidRPr="000142AB">
        <w:rPr>
          <w:lang w:val="fr-FR"/>
        </w:rPr>
        <w:t xml:space="preserve"> des lieux</w:t>
      </w:r>
      <w:r w:rsidR="00622FFC" w:rsidRPr="000142AB">
        <w:rPr>
          <w:lang w:val="fr-FR"/>
        </w:rPr>
        <w:t>,</w:t>
      </w:r>
      <w:r w:rsidR="00B1507B" w:rsidRPr="000142AB">
        <w:rPr>
          <w:lang w:val="fr-FR"/>
        </w:rPr>
        <w:t xml:space="preserve"> que</w:t>
      </w:r>
      <w:r w:rsidR="00D8089C" w:rsidRPr="000142AB">
        <w:rPr>
          <w:lang w:val="fr-FR"/>
        </w:rPr>
        <w:t xml:space="preserve"> </w:t>
      </w:r>
      <w:r w:rsidR="00622FFC" w:rsidRPr="000142AB">
        <w:rPr>
          <w:lang w:val="fr-FR"/>
        </w:rPr>
        <w:t xml:space="preserve">les autorités </w:t>
      </w:r>
      <w:r w:rsidR="00271B2C" w:rsidRPr="000142AB">
        <w:rPr>
          <w:lang w:val="fr-FR"/>
        </w:rPr>
        <w:t xml:space="preserve">auraient recherché activement </w:t>
      </w:r>
      <w:r w:rsidR="00622FFC" w:rsidRPr="000142AB">
        <w:rPr>
          <w:lang w:val="fr-FR"/>
        </w:rPr>
        <w:t xml:space="preserve">des solutions de relogement </w:t>
      </w:r>
      <w:r w:rsidR="00F40926" w:rsidRPr="000142AB">
        <w:rPr>
          <w:lang w:val="fr-FR"/>
        </w:rPr>
        <w:t>permett</w:t>
      </w:r>
      <w:r w:rsidR="00271B2C" w:rsidRPr="000142AB">
        <w:rPr>
          <w:lang w:val="fr-FR"/>
        </w:rPr>
        <w:t>ant</w:t>
      </w:r>
      <w:r w:rsidR="00622FFC" w:rsidRPr="000142AB">
        <w:rPr>
          <w:lang w:val="fr-FR"/>
        </w:rPr>
        <w:t xml:space="preserve"> </w:t>
      </w:r>
      <w:r w:rsidR="00271B2C" w:rsidRPr="000142AB">
        <w:rPr>
          <w:lang w:val="fr-FR"/>
        </w:rPr>
        <w:t xml:space="preserve">de procéder à </w:t>
      </w:r>
      <w:r w:rsidR="001E4E25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1E4E25" w:rsidRPr="000142AB">
        <w:rPr>
          <w:lang w:val="fr-FR"/>
        </w:rPr>
        <w:t>évacuation</w:t>
      </w:r>
      <w:r w:rsidR="00622FFC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622FFC" w:rsidRPr="000142AB">
        <w:rPr>
          <w:lang w:val="fr-FR"/>
        </w:rPr>
        <w:t>immeuble.</w:t>
      </w:r>
      <w:r w:rsidRPr="000142AB">
        <w:rPr>
          <w:lang w:val="fr-FR"/>
        </w:rPr>
        <w:t xml:space="preserve"> </w:t>
      </w:r>
      <w:r w:rsidR="00622FFC" w:rsidRPr="000142AB">
        <w:rPr>
          <w:lang w:val="fr-FR"/>
        </w:rPr>
        <w:t xml:space="preserve">Quant au remède civil, la requérante </w:t>
      </w:r>
      <w:r w:rsidR="00D6367C" w:rsidRPr="000142AB">
        <w:rPr>
          <w:lang w:val="fr-FR"/>
        </w:rPr>
        <w:t>estime</w:t>
      </w:r>
      <w:r w:rsidR="00E84B5C" w:rsidRPr="000142AB">
        <w:rPr>
          <w:lang w:val="fr-FR"/>
        </w:rPr>
        <w:t xml:space="preserve"> </w:t>
      </w:r>
      <w:r w:rsidR="00622FFC" w:rsidRPr="000142AB">
        <w:rPr>
          <w:lang w:val="fr-FR"/>
        </w:rPr>
        <w:t>que</w:t>
      </w:r>
      <w:r w:rsidR="00A86E48" w:rsidRPr="000142AB">
        <w:rPr>
          <w:lang w:val="fr-FR"/>
        </w:rPr>
        <w:t>,</w:t>
      </w:r>
      <w:r w:rsidR="00622FFC" w:rsidRPr="000142AB">
        <w:rPr>
          <w:lang w:val="fr-FR"/>
        </w:rPr>
        <w:t xml:space="preserve"> compte tenu des c</w:t>
      </w:r>
      <w:r w:rsidR="0031664B" w:rsidRPr="000142AB">
        <w:rPr>
          <w:lang w:val="fr-FR"/>
        </w:rPr>
        <w:t>i</w:t>
      </w:r>
      <w:r w:rsidR="00622FFC" w:rsidRPr="000142AB">
        <w:rPr>
          <w:lang w:val="fr-FR"/>
        </w:rPr>
        <w:t>rconstances</w:t>
      </w:r>
      <w:r w:rsidR="00892156" w:rsidRPr="000142AB">
        <w:rPr>
          <w:lang w:val="fr-FR"/>
        </w:rPr>
        <w:t>,</w:t>
      </w:r>
      <w:r w:rsidR="00622FFC" w:rsidRPr="000142AB">
        <w:rPr>
          <w:lang w:val="fr-FR"/>
        </w:rPr>
        <w:t xml:space="preserve"> un recours de ce type </w:t>
      </w:r>
      <w:r w:rsidR="00734866" w:rsidRPr="000142AB">
        <w:rPr>
          <w:lang w:val="fr-FR"/>
        </w:rPr>
        <w:t xml:space="preserve">dirigé contre les occupants </w:t>
      </w:r>
      <w:r w:rsidR="00622FFC" w:rsidRPr="000142AB">
        <w:rPr>
          <w:lang w:val="fr-FR"/>
        </w:rPr>
        <w:t>n</w:t>
      </w:r>
      <w:r w:rsidR="000142AB" w:rsidRPr="000142AB">
        <w:rPr>
          <w:lang w:val="fr-FR"/>
        </w:rPr>
        <w:t>’</w:t>
      </w:r>
      <w:r w:rsidR="00622FFC" w:rsidRPr="000142AB">
        <w:rPr>
          <w:lang w:val="fr-FR"/>
        </w:rPr>
        <w:t xml:space="preserve">aurait eu aucune </w:t>
      </w:r>
      <w:r w:rsidR="0031664B" w:rsidRPr="000142AB">
        <w:rPr>
          <w:lang w:val="fr-FR"/>
        </w:rPr>
        <w:t>chance</w:t>
      </w:r>
      <w:r w:rsidR="00622FFC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31664B" w:rsidRPr="000142AB">
        <w:rPr>
          <w:lang w:val="fr-FR"/>
        </w:rPr>
        <w:t xml:space="preserve">aboutir. En effet, </w:t>
      </w:r>
      <w:r w:rsidR="00D6367C" w:rsidRPr="000142AB">
        <w:rPr>
          <w:lang w:val="fr-FR"/>
        </w:rPr>
        <w:t xml:space="preserve">elle précise que </w:t>
      </w:r>
      <w:r w:rsidR="0031664B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31664B" w:rsidRPr="000142AB">
        <w:rPr>
          <w:lang w:val="fr-FR"/>
        </w:rPr>
        <w:t>identité des occupants n</w:t>
      </w:r>
      <w:r w:rsidR="000142AB" w:rsidRPr="000142AB">
        <w:rPr>
          <w:lang w:val="fr-FR"/>
        </w:rPr>
        <w:t>’</w:t>
      </w:r>
      <w:r w:rsidR="0031664B" w:rsidRPr="000142AB">
        <w:rPr>
          <w:lang w:val="fr-FR"/>
        </w:rPr>
        <w:t>a jamais été établie par les autorités</w:t>
      </w:r>
      <w:r w:rsidR="00E23D9C" w:rsidRPr="000142AB">
        <w:rPr>
          <w:lang w:val="fr-FR"/>
        </w:rPr>
        <w:t xml:space="preserve"> et</w:t>
      </w:r>
      <w:r w:rsidR="00D6367C" w:rsidRPr="000142AB">
        <w:rPr>
          <w:lang w:val="fr-FR"/>
        </w:rPr>
        <w:t xml:space="preserve"> qu</w:t>
      </w:r>
      <w:r w:rsidR="000142AB" w:rsidRPr="000142AB">
        <w:rPr>
          <w:lang w:val="fr-FR"/>
        </w:rPr>
        <w:t>’</w:t>
      </w:r>
      <w:r w:rsidR="003923A7" w:rsidRPr="000142AB">
        <w:rPr>
          <w:lang w:val="fr-FR"/>
        </w:rPr>
        <w:t>elle</w:t>
      </w:r>
      <w:r w:rsidR="0031664B" w:rsidRPr="000142AB">
        <w:rPr>
          <w:lang w:val="fr-FR"/>
        </w:rPr>
        <w:t xml:space="preserve"> ne voit pas comment un huissier de justice </w:t>
      </w:r>
      <w:r w:rsidR="00CE5B85" w:rsidRPr="000142AB">
        <w:rPr>
          <w:lang w:val="fr-FR"/>
        </w:rPr>
        <w:t xml:space="preserve">nommé par le juge civil </w:t>
      </w:r>
      <w:r w:rsidR="00734866" w:rsidRPr="000142AB">
        <w:rPr>
          <w:lang w:val="fr-FR"/>
        </w:rPr>
        <w:t>aurait pu</w:t>
      </w:r>
      <w:r w:rsidR="00B1507B" w:rsidRPr="000142AB">
        <w:rPr>
          <w:lang w:val="fr-FR"/>
        </w:rPr>
        <w:t xml:space="preserve"> </w:t>
      </w:r>
      <w:r w:rsidR="00E23D9C" w:rsidRPr="000142AB">
        <w:rPr>
          <w:lang w:val="fr-FR"/>
        </w:rPr>
        <w:t>entrer en contact</w:t>
      </w:r>
      <w:r w:rsidR="0031664B" w:rsidRPr="000142AB">
        <w:rPr>
          <w:lang w:val="fr-FR"/>
        </w:rPr>
        <w:t xml:space="preserve"> </w:t>
      </w:r>
      <w:r w:rsidR="00E23D9C" w:rsidRPr="000142AB">
        <w:rPr>
          <w:lang w:val="fr-FR"/>
        </w:rPr>
        <w:t>avec les individus concernés</w:t>
      </w:r>
      <w:r w:rsidR="0031664B" w:rsidRPr="000142AB">
        <w:rPr>
          <w:lang w:val="fr-FR"/>
        </w:rPr>
        <w:t xml:space="preserve"> alors que les autorités </w:t>
      </w:r>
      <w:r w:rsidR="003923A7" w:rsidRPr="000142AB">
        <w:rPr>
          <w:lang w:val="fr-FR"/>
        </w:rPr>
        <w:t>n</w:t>
      </w:r>
      <w:r w:rsidR="000142AB" w:rsidRPr="000142AB">
        <w:rPr>
          <w:lang w:val="fr-FR"/>
        </w:rPr>
        <w:t>’</w:t>
      </w:r>
      <w:r w:rsidR="00533242" w:rsidRPr="000142AB">
        <w:rPr>
          <w:lang w:val="fr-FR"/>
        </w:rPr>
        <w:t>ont</w:t>
      </w:r>
      <w:r w:rsidR="003923A7" w:rsidRPr="000142AB">
        <w:rPr>
          <w:lang w:val="fr-FR"/>
        </w:rPr>
        <w:t xml:space="preserve"> pas réussi</w:t>
      </w:r>
      <w:r w:rsidR="00D6367C" w:rsidRPr="000142AB">
        <w:rPr>
          <w:lang w:val="fr-FR"/>
        </w:rPr>
        <w:t xml:space="preserve"> à faire exécuter la saisie bien qu</w:t>
      </w:r>
      <w:r w:rsidR="000142AB" w:rsidRPr="000142AB">
        <w:rPr>
          <w:lang w:val="fr-FR"/>
        </w:rPr>
        <w:t>’</w:t>
      </w:r>
      <w:r w:rsidR="00D6367C" w:rsidRPr="000142AB">
        <w:rPr>
          <w:lang w:val="fr-FR"/>
        </w:rPr>
        <w:t>en en ayant été chargées par le juge pénal</w:t>
      </w:r>
      <w:r w:rsidR="003923A7" w:rsidRPr="000142AB">
        <w:rPr>
          <w:lang w:val="fr-FR"/>
        </w:rPr>
        <w:t>.</w:t>
      </w:r>
    </w:p>
    <w:p w:rsidR="0075652F" w:rsidRPr="000142AB" w:rsidRDefault="00443379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28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A17202" w:rsidRPr="000142AB">
        <w:rPr>
          <w:lang w:val="fr-FR"/>
        </w:rPr>
        <w:t>Par ailleurs</w:t>
      </w:r>
      <w:r w:rsidRPr="000142AB">
        <w:rPr>
          <w:lang w:val="fr-FR"/>
        </w:rPr>
        <w:t xml:space="preserve">, la requérante </w:t>
      </w:r>
      <w:r w:rsidR="00AF3028" w:rsidRPr="000142AB">
        <w:rPr>
          <w:lang w:val="fr-FR"/>
        </w:rPr>
        <w:t xml:space="preserve">indique </w:t>
      </w:r>
      <w:r w:rsidRPr="000142AB">
        <w:rPr>
          <w:lang w:val="fr-FR"/>
        </w:rPr>
        <w:t>que</w:t>
      </w:r>
      <w:r w:rsidR="007411CE" w:rsidRPr="000142AB">
        <w:rPr>
          <w:lang w:val="fr-FR"/>
        </w:rPr>
        <w:t xml:space="preserve"> les opérations de clôture de l</w:t>
      </w:r>
      <w:r w:rsidR="000142AB" w:rsidRPr="000142AB">
        <w:rPr>
          <w:lang w:val="fr-FR"/>
        </w:rPr>
        <w:t>’</w:t>
      </w:r>
      <w:r w:rsidR="007411CE" w:rsidRPr="000142AB">
        <w:rPr>
          <w:lang w:val="fr-FR"/>
        </w:rPr>
        <w:t>activité</w:t>
      </w:r>
      <w:r w:rsidR="00DB6924" w:rsidRPr="000142AB">
        <w:rPr>
          <w:lang w:val="fr-FR"/>
        </w:rPr>
        <w:t xml:space="preserve"> de</w:t>
      </w:r>
      <w:r w:rsidRPr="000142AB">
        <w:rPr>
          <w:lang w:val="fr-FR"/>
        </w:rPr>
        <w:t xml:space="preserve"> la clinique</w:t>
      </w:r>
      <w:r w:rsidR="00D76342" w:rsidRPr="000142AB">
        <w:rPr>
          <w:lang w:val="fr-FR"/>
        </w:rPr>
        <w:t xml:space="preserve"> et le démantèlement des installations médicales</w:t>
      </w:r>
      <w:r w:rsidR="0075652F" w:rsidRPr="000142AB">
        <w:rPr>
          <w:lang w:val="fr-FR"/>
        </w:rPr>
        <w:t xml:space="preserve"> </w:t>
      </w:r>
      <w:r w:rsidR="007411CE" w:rsidRPr="000142AB">
        <w:rPr>
          <w:lang w:val="fr-FR"/>
        </w:rPr>
        <w:t xml:space="preserve">étaient encore en cours </w:t>
      </w:r>
      <w:r w:rsidR="00A126E1" w:rsidRPr="000142AB">
        <w:rPr>
          <w:lang w:val="fr-FR"/>
        </w:rPr>
        <w:t>à la date du début</w:t>
      </w:r>
      <w:r w:rsidR="007411CE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7411CE" w:rsidRPr="000142AB">
        <w:rPr>
          <w:lang w:val="fr-FR"/>
        </w:rPr>
        <w:t>occupation</w:t>
      </w:r>
      <w:r w:rsidR="00675321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675321" w:rsidRPr="000142AB">
        <w:rPr>
          <w:lang w:val="fr-FR"/>
        </w:rPr>
        <w:t>immeuble</w:t>
      </w:r>
      <w:r w:rsidR="007411CE" w:rsidRPr="000142AB">
        <w:rPr>
          <w:lang w:val="fr-FR"/>
        </w:rPr>
        <w:t>.</w:t>
      </w:r>
      <w:r w:rsidRPr="000142AB">
        <w:rPr>
          <w:lang w:val="fr-FR"/>
        </w:rPr>
        <w:t xml:space="preserve"> </w:t>
      </w:r>
      <w:r w:rsidR="00AF3028" w:rsidRPr="000142AB">
        <w:rPr>
          <w:lang w:val="fr-FR"/>
        </w:rPr>
        <w:t>Elle estime que, dès lors, l</w:t>
      </w:r>
      <w:r w:rsidR="000142AB" w:rsidRPr="000142AB">
        <w:rPr>
          <w:lang w:val="fr-FR"/>
        </w:rPr>
        <w:t>’</w:t>
      </w:r>
      <w:r w:rsidR="00AF3028" w:rsidRPr="000142AB">
        <w:rPr>
          <w:lang w:val="fr-FR"/>
        </w:rPr>
        <w:t>argument</w:t>
      </w:r>
      <w:r w:rsidR="004D200C" w:rsidRPr="000142AB">
        <w:rPr>
          <w:lang w:val="fr-FR"/>
        </w:rPr>
        <w:t xml:space="preserve"> du G</w:t>
      </w:r>
      <w:r w:rsidRPr="000142AB">
        <w:rPr>
          <w:lang w:val="fr-FR"/>
        </w:rPr>
        <w:t>ouvernement selon l</w:t>
      </w:r>
      <w:r w:rsidR="00AF3028" w:rsidRPr="000142AB">
        <w:rPr>
          <w:lang w:val="fr-FR"/>
        </w:rPr>
        <w:t>e</w:t>
      </w:r>
      <w:r w:rsidRPr="000142AB">
        <w:rPr>
          <w:lang w:val="fr-FR"/>
        </w:rPr>
        <w:t>quel elle n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avait pas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intention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utiliser le bien</w:t>
      </w:r>
      <w:r w:rsidR="008C1F56" w:rsidRPr="000142AB">
        <w:rPr>
          <w:lang w:val="fr-FR"/>
        </w:rPr>
        <w:t xml:space="preserve"> n</w:t>
      </w:r>
      <w:r w:rsidR="000142AB" w:rsidRPr="000142AB">
        <w:rPr>
          <w:lang w:val="fr-FR"/>
        </w:rPr>
        <w:t>’</w:t>
      </w:r>
      <w:r w:rsidR="008C1F56" w:rsidRPr="000142AB">
        <w:rPr>
          <w:lang w:val="fr-FR"/>
        </w:rPr>
        <w:t xml:space="preserve">est pas </w:t>
      </w:r>
      <w:r w:rsidR="006B09CE" w:rsidRPr="000142AB">
        <w:rPr>
          <w:lang w:val="fr-FR"/>
        </w:rPr>
        <w:t>pertinent</w:t>
      </w:r>
      <w:r w:rsidRPr="000142AB">
        <w:rPr>
          <w:lang w:val="fr-FR"/>
        </w:rPr>
        <w:t>.</w:t>
      </w:r>
    </w:p>
    <w:p w:rsidR="00A17202" w:rsidRPr="000142AB" w:rsidRDefault="00A17202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29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Enfin, la requérante </w:t>
      </w:r>
      <w:r w:rsidR="00411B4F" w:rsidRPr="000142AB">
        <w:rPr>
          <w:lang w:val="fr-FR"/>
        </w:rPr>
        <w:t>expose</w:t>
      </w:r>
      <w:r w:rsidRPr="000142AB">
        <w:rPr>
          <w:lang w:val="fr-FR"/>
        </w:rPr>
        <w:t xml:space="preserve"> que le décret n</w:t>
      </w:r>
      <w:r w:rsidR="0075652F" w:rsidRPr="000142AB">
        <w:rPr>
          <w:vertAlign w:val="superscript"/>
          <w:lang w:val="fr-FR"/>
        </w:rPr>
        <w:t>o</w:t>
      </w:r>
      <w:r w:rsidRPr="000142AB">
        <w:rPr>
          <w:lang w:val="fr-FR"/>
        </w:rPr>
        <w:t xml:space="preserve"> 14 de 2017, entré en vigueur posté</w:t>
      </w:r>
      <w:r w:rsidR="00716798" w:rsidRPr="000142AB">
        <w:rPr>
          <w:lang w:val="fr-FR"/>
        </w:rPr>
        <w:t>rieurement à l</w:t>
      </w:r>
      <w:r w:rsidR="000142AB" w:rsidRPr="000142AB">
        <w:rPr>
          <w:lang w:val="fr-FR"/>
        </w:rPr>
        <w:t>’</w:t>
      </w:r>
      <w:r w:rsidR="00716798" w:rsidRPr="000142AB">
        <w:rPr>
          <w:lang w:val="fr-FR"/>
        </w:rPr>
        <w:t>introduction de s</w:t>
      </w:r>
      <w:r w:rsidRPr="000142AB">
        <w:rPr>
          <w:lang w:val="fr-FR"/>
        </w:rPr>
        <w:t>a requ</w:t>
      </w:r>
      <w:r w:rsidR="00975060" w:rsidRPr="000142AB">
        <w:rPr>
          <w:lang w:val="fr-FR"/>
        </w:rPr>
        <w:t xml:space="preserve">ête, </w:t>
      </w:r>
      <w:r w:rsidR="000104DF" w:rsidRPr="000142AB">
        <w:rPr>
          <w:lang w:val="fr-FR"/>
        </w:rPr>
        <w:t xml:space="preserve">ne fait que limiter encore plus les droits des propriétaires des immeubles occupés dans la mesure où il </w:t>
      </w:r>
      <w:r w:rsidR="00470D88" w:rsidRPr="000142AB">
        <w:rPr>
          <w:lang w:val="fr-FR"/>
        </w:rPr>
        <w:t>conf</w:t>
      </w:r>
      <w:r w:rsidR="00411B4F" w:rsidRPr="000142AB">
        <w:rPr>
          <w:lang w:val="fr-FR"/>
        </w:rPr>
        <w:t>érerait les</w:t>
      </w:r>
      <w:r w:rsidR="000104DF" w:rsidRPr="000142AB">
        <w:rPr>
          <w:lang w:val="fr-FR"/>
        </w:rPr>
        <w:t xml:space="preserve"> pleins pouvoirs au p</w:t>
      </w:r>
      <w:r w:rsidR="00214B49" w:rsidRPr="000142AB">
        <w:rPr>
          <w:lang w:val="fr-FR"/>
        </w:rPr>
        <w:t xml:space="preserve">réfet </w:t>
      </w:r>
      <w:r w:rsidR="00A126E1" w:rsidRPr="000142AB">
        <w:rPr>
          <w:lang w:val="fr-FR"/>
        </w:rPr>
        <w:t>pour lui permettre de</w:t>
      </w:r>
      <w:r w:rsidR="00470D88" w:rsidRPr="000142AB">
        <w:rPr>
          <w:lang w:val="fr-FR"/>
        </w:rPr>
        <w:t xml:space="preserve"> veiller à la sauvegarde des droits des occupant</w:t>
      </w:r>
      <w:r w:rsidR="00411B4F" w:rsidRPr="000142AB">
        <w:rPr>
          <w:lang w:val="fr-FR"/>
        </w:rPr>
        <w:t>s</w:t>
      </w:r>
      <w:r w:rsidR="00975060" w:rsidRPr="000142AB">
        <w:rPr>
          <w:lang w:val="fr-FR"/>
        </w:rPr>
        <w:t xml:space="preserve"> </w:t>
      </w:r>
      <w:r w:rsidR="00214B49" w:rsidRPr="000142AB">
        <w:rPr>
          <w:lang w:val="fr-FR"/>
        </w:rPr>
        <w:t xml:space="preserve">et </w:t>
      </w:r>
      <w:r w:rsidR="00A126E1" w:rsidRPr="000142AB">
        <w:rPr>
          <w:lang w:val="fr-FR"/>
        </w:rPr>
        <w:t xml:space="preserve">où </w:t>
      </w:r>
      <w:r w:rsidR="00411B4F" w:rsidRPr="000142AB">
        <w:rPr>
          <w:lang w:val="fr-FR"/>
        </w:rPr>
        <w:t xml:space="preserve">il </w:t>
      </w:r>
      <w:r w:rsidRPr="000142AB">
        <w:rPr>
          <w:lang w:val="fr-FR"/>
        </w:rPr>
        <w:t>ne prévoi</w:t>
      </w:r>
      <w:r w:rsidR="00411B4F" w:rsidRPr="000142AB">
        <w:rPr>
          <w:lang w:val="fr-FR"/>
        </w:rPr>
        <w:t>rait</w:t>
      </w:r>
      <w:r w:rsidRPr="000142AB">
        <w:rPr>
          <w:lang w:val="fr-FR"/>
        </w:rPr>
        <w:t xml:space="preserve"> de</w:t>
      </w:r>
      <w:r w:rsidR="00214B49" w:rsidRPr="000142AB">
        <w:rPr>
          <w:lang w:val="fr-FR"/>
        </w:rPr>
        <w:t xml:space="preserve"> réparation pour les propriétaires qu</w:t>
      </w:r>
      <w:r w:rsidR="000142AB" w:rsidRPr="000142AB">
        <w:rPr>
          <w:lang w:val="fr-FR"/>
        </w:rPr>
        <w:t>’</w:t>
      </w:r>
      <w:r w:rsidR="00214B49" w:rsidRPr="000142AB">
        <w:rPr>
          <w:lang w:val="fr-FR"/>
        </w:rPr>
        <w:t xml:space="preserve">en cas de dol ou de faute grave </w:t>
      </w:r>
      <w:r w:rsidR="00A126E1" w:rsidRPr="000142AB">
        <w:rPr>
          <w:lang w:val="fr-FR"/>
        </w:rPr>
        <w:t>du préfet</w:t>
      </w:r>
      <w:r w:rsidR="00214B49" w:rsidRPr="000142AB">
        <w:rPr>
          <w:lang w:val="fr-FR"/>
        </w:rPr>
        <w:t>.</w:t>
      </w:r>
    </w:p>
    <w:p w:rsidR="000976C8" w:rsidRPr="000142AB" w:rsidRDefault="00443379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30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FA1611" w:rsidRPr="000142AB">
        <w:rPr>
          <w:lang w:val="fr-FR"/>
        </w:rPr>
        <w:t xml:space="preserve">La Cour considère </w:t>
      </w:r>
      <w:r w:rsidR="008C1F56" w:rsidRPr="000142AB">
        <w:rPr>
          <w:lang w:val="fr-FR"/>
        </w:rPr>
        <w:t>tout d</w:t>
      </w:r>
      <w:r w:rsidR="000142AB" w:rsidRPr="000142AB">
        <w:rPr>
          <w:lang w:val="fr-FR"/>
        </w:rPr>
        <w:t>’</w:t>
      </w:r>
      <w:r w:rsidR="008C1F56" w:rsidRPr="000142AB">
        <w:rPr>
          <w:lang w:val="fr-FR"/>
        </w:rPr>
        <w:t xml:space="preserve">abord </w:t>
      </w:r>
      <w:r w:rsidR="00FA1611" w:rsidRPr="000142AB">
        <w:rPr>
          <w:lang w:val="fr-FR"/>
        </w:rPr>
        <w:t>que le</w:t>
      </w:r>
      <w:r w:rsidR="000A02D7" w:rsidRPr="000142AB">
        <w:rPr>
          <w:lang w:val="fr-FR"/>
        </w:rPr>
        <w:t>s</w:t>
      </w:r>
      <w:r w:rsidR="008C1F56" w:rsidRPr="000142AB">
        <w:rPr>
          <w:lang w:val="fr-FR"/>
        </w:rPr>
        <w:t xml:space="preserve"> argume</w:t>
      </w:r>
      <w:r w:rsidR="00FA1611" w:rsidRPr="000142AB">
        <w:rPr>
          <w:lang w:val="fr-FR"/>
        </w:rPr>
        <w:t xml:space="preserve">nts du Gouvernement </w:t>
      </w:r>
      <w:r w:rsidR="00D76508" w:rsidRPr="000142AB">
        <w:rPr>
          <w:lang w:val="fr-FR"/>
        </w:rPr>
        <w:t xml:space="preserve">soulèvent en substance une exception de non-épuisement des voies de recours internes et </w:t>
      </w:r>
      <w:r w:rsidR="004D2E4C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4D2E4C" w:rsidRPr="000142AB">
        <w:rPr>
          <w:lang w:val="fr-FR"/>
        </w:rPr>
        <w:t>il y a dès lors lieu d</w:t>
      </w:r>
      <w:r w:rsidR="000142AB" w:rsidRPr="000142AB">
        <w:rPr>
          <w:lang w:val="fr-FR"/>
        </w:rPr>
        <w:t>’</w:t>
      </w:r>
      <w:r w:rsidR="004D2E4C" w:rsidRPr="000142AB">
        <w:rPr>
          <w:lang w:val="fr-FR"/>
        </w:rPr>
        <w:t>examiner la question</w:t>
      </w:r>
      <w:r w:rsidR="00D76508" w:rsidRPr="000142AB">
        <w:rPr>
          <w:lang w:val="fr-FR"/>
        </w:rPr>
        <w:t xml:space="preserve"> de la</w:t>
      </w:r>
      <w:r w:rsidR="00FA1611" w:rsidRPr="000142AB">
        <w:rPr>
          <w:lang w:val="fr-FR"/>
        </w:rPr>
        <w:t xml:space="preserve"> recevabil</w:t>
      </w:r>
      <w:r w:rsidR="00D76508" w:rsidRPr="000142AB">
        <w:rPr>
          <w:lang w:val="fr-FR"/>
        </w:rPr>
        <w:t>ité de la requête.</w:t>
      </w:r>
    </w:p>
    <w:p w:rsidR="00323134" w:rsidRPr="000142AB" w:rsidRDefault="00443379" w:rsidP="000142AB">
      <w:pPr>
        <w:pStyle w:val="ECHRPara"/>
        <w:rPr>
          <w:lang w:val="fr-FR"/>
        </w:rPr>
      </w:pPr>
      <w:r w:rsidRPr="000142AB">
        <w:rPr>
          <w:lang w:val="fr-FR"/>
        </w:rPr>
        <w:lastRenderedPageBreak/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31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166996" w:rsidRPr="000142AB">
        <w:rPr>
          <w:lang w:val="fr-FR"/>
        </w:rPr>
        <w:t>Elle</w:t>
      </w:r>
      <w:r w:rsidR="00323134" w:rsidRPr="000142AB">
        <w:rPr>
          <w:lang w:val="fr-FR"/>
        </w:rPr>
        <w:t xml:space="preserve"> rappelle </w:t>
      </w:r>
      <w:r w:rsidR="000A02D7" w:rsidRPr="000142AB">
        <w:rPr>
          <w:lang w:val="fr-FR"/>
        </w:rPr>
        <w:t xml:space="preserve">ensuite </w:t>
      </w:r>
      <w:r w:rsidR="00323134" w:rsidRPr="000142AB">
        <w:rPr>
          <w:lang w:val="fr-FR"/>
        </w:rPr>
        <w:t>que l</w:t>
      </w:r>
      <w:r w:rsidR="000142AB" w:rsidRPr="000142AB">
        <w:rPr>
          <w:lang w:val="fr-FR"/>
        </w:rPr>
        <w:t>’</w:t>
      </w:r>
      <w:r w:rsidR="00323134" w:rsidRPr="000142AB">
        <w:rPr>
          <w:lang w:val="fr-FR"/>
        </w:rPr>
        <w:t>obligation d</w:t>
      </w:r>
      <w:r w:rsidR="000142AB" w:rsidRPr="000142AB">
        <w:rPr>
          <w:lang w:val="fr-FR"/>
        </w:rPr>
        <w:t>’</w:t>
      </w:r>
      <w:r w:rsidR="00323134" w:rsidRPr="000142AB">
        <w:rPr>
          <w:lang w:val="fr-FR"/>
        </w:rPr>
        <w:t>épuiser les voies de recours internes, prévue par l</w:t>
      </w:r>
      <w:r w:rsidR="000142AB" w:rsidRPr="000142AB">
        <w:rPr>
          <w:lang w:val="fr-FR"/>
        </w:rPr>
        <w:t>’</w:t>
      </w:r>
      <w:r w:rsidR="00323134" w:rsidRPr="000142AB">
        <w:rPr>
          <w:lang w:val="fr-FR"/>
        </w:rPr>
        <w:t xml:space="preserve">article 35 § 1 de la Convention, concerne les voies de recours qui sont accessibles au requérant et qui peuvent porter remède à la situation dont celui-ci se plaint. </w:t>
      </w:r>
      <w:r w:rsidR="0096500C" w:rsidRPr="000142AB">
        <w:rPr>
          <w:lang w:val="fr-FR"/>
        </w:rPr>
        <w:t>Ces voies de recours</w:t>
      </w:r>
      <w:r w:rsidR="00323134" w:rsidRPr="000142AB">
        <w:rPr>
          <w:lang w:val="fr-FR"/>
        </w:rPr>
        <w:t xml:space="preserve"> doivent exister à un degré suffisant de certitude, non seulement en théorie mais aussi en pratique, sans quoi leur manquent l</w:t>
      </w:r>
      <w:r w:rsidR="000142AB" w:rsidRPr="000142AB">
        <w:rPr>
          <w:lang w:val="fr-FR"/>
        </w:rPr>
        <w:t>’</w:t>
      </w:r>
      <w:r w:rsidR="00323134" w:rsidRPr="000142AB">
        <w:rPr>
          <w:lang w:val="fr-FR"/>
        </w:rPr>
        <w:t>accessi</w:t>
      </w:r>
      <w:r w:rsidR="000B49B6" w:rsidRPr="000142AB">
        <w:rPr>
          <w:lang w:val="fr-FR"/>
        </w:rPr>
        <w:t>bilité et l</w:t>
      </w:r>
      <w:r w:rsidR="000142AB" w:rsidRPr="000142AB">
        <w:rPr>
          <w:lang w:val="fr-FR"/>
        </w:rPr>
        <w:t>’</w:t>
      </w:r>
      <w:r w:rsidR="000B49B6" w:rsidRPr="000142AB">
        <w:rPr>
          <w:lang w:val="fr-FR"/>
        </w:rPr>
        <w:t>effectivité voulues </w:t>
      </w:r>
      <w:r w:rsidR="00323134" w:rsidRPr="000142AB">
        <w:rPr>
          <w:lang w:val="fr-FR"/>
        </w:rPr>
        <w:t>; il incombe à l</w:t>
      </w:r>
      <w:r w:rsidR="000142AB" w:rsidRPr="000142AB">
        <w:rPr>
          <w:lang w:val="fr-FR"/>
        </w:rPr>
        <w:t>’</w:t>
      </w:r>
      <w:r w:rsidR="0096500C" w:rsidRPr="000142AB">
        <w:rPr>
          <w:rFonts w:cstheme="minorHAnsi"/>
          <w:lang w:val="fr-FR"/>
        </w:rPr>
        <w:t>É</w:t>
      </w:r>
      <w:r w:rsidR="00323134" w:rsidRPr="000142AB">
        <w:rPr>
          <w:lang w:val="fr-FR"/>
        </w:rPr>
        <w:t>tat défendeur de démontrer que ces exigences se trouvent réunies. De surcroît, un requérant qui a utilisé une voie de droit apparemment effective et suffisante ne saurait se voir reprocher de ne pas avoir essayé d</w:t>
      </w:r>
      <w:r w:rsidR="000142AB" w:rsidRPr="000142AB">
        <w:rPr>
          <w:lang w:val="fr-FR"/>
        </w:rPr>
        <w:t>’</w:t>
      </w:r>
      <w:r w:rsidR="00323134" w:rsidRPr="000142AB">
        <w:rPr>
          <w:lang w:val="fr-FR"/>
        </w:rPr>
        <w:t>en utiliser d</w:t>
      </w:r>
      <w:r w:rsidR="000142AB" w:rsidRPr="000142AB">
        <w:rPr>
          <w:lang w:val="fr-FR"/>
        </w:rPr>
        <w:t>’</w:t>
      </w:r>
      <w:r w:rsidR="00323134" w:rsidRPr="000142AB">
        <w:rPr>
          <w:lang w:val="fr-FR"/>
        </w:rPr>
        <w:t>autres qui étaient disponibles mais ne présentaient guère plus de chances de succès (</w:t>
      </w:r>
      <w:r w:rsidR="00323134" w:rsidRPr="000142AB">
        <w:rPr>
          <w:i/>
          <w:lang w:val="fr-FR"/>
        </w:rPr>
        <w:t>Aquilina c. Malte</w:t>
      </w:r>
      <w:r w:rsidR="00675321" w:rsidRPr="000142AB">
        <w:rPr>
          <w:lang w:val="fr-FR"/>
        </w:rPr>
        <w:t xml:space="preserve"> [GC],</w:t>
      </w:r>
      <w:r w:rsidR="00323134" w:rsidRPr="000142AB">
        <w:rPr>
          <w:lang w:val="fr-FR"/>
        </w:rPr>
        <w:t xml:space="preserve"> n</w:t>
      </w:r>
      <w:r w:rsidR="0075652F" w:rsidRPr="000142AB">
        <w:rPr>
          <w:vertAlign w:val="superscript"/>
          <w:lang w:val="fr-FR"/>
        </w:rPr>
        <w:t>o</w:t>
      </w:r>
      <w:r w:rsidR="008C1F56" w:rsidRPr="000142AB">
        <w:rPr>
          <w:lang w:val="fr-FR"/>
        </w:rPr>
        <w:t> </w:t>
      </w:r>
      <w:r w:rsidR="00323134" w:rsidRPr="000142AB">
        <w:rPr>
          <w:lang w:val="fr-FR"/>
        </w:rPr>
        <w:t>25642/94, § 39, CEDH 1999-III).</w:t>
      </w:r>
    </w:p>
    <w:p w:rsidR="00736FA1" w:rsidRPr="000142AB" w:rsidRDefault="00355A82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32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9A22DD" w:rsidRPr="000142AB">
        <w:rPr>
          <w:lang w:val="fr-FR"/>
        </w:rPr>
        <w:t>Pour se prononcer sur la question de savoir si la requérante a, dans les circonstances particulières de l</w:t>
      </w:r>
      <w:r w:rsidR="000142AB" w:rsidRPr="000142AB">
        <w:rPr>
          <w:lang w:val="fr-FR"/>
        </w:rPr>
        <w:t>’</w:t>
      </w:r>
      <w:r w:rsidR="009A22DD" w:rsidRPr="000142AB">
        <w:rPr>
          <w:lang w:val="fr-FR"/>
        </w:rPr>
        <w:t>espèce, satisfait à l</w:t>
      </w:r>
      <w:r w:rsidR="000142AB" w:rsidRPr="000142AB">
        <w:rPr>
          <w:lang w:val="fr-FR"/>
        </w:rPr>
        <w:t>’</w:t>
      </w:r>
      <w:r w:rsidR="009A22DD" w:rsidRPr="000142AB">
        <w:rPr>
          <w:lang w:val="fr-FR"/>
        </w:rPr>
        <w:t>exigence d</w:t>
      </w:r>
      <w:r w:rsidR="000142AB" w:rsidRPr="000142AB">
        <w:rPr>
          <w:lang w:val="fr-FR"/>
        </w:rPr>
        <w:t>’</w:t>
      </w:r>
      <w:r w:rsidR="009A22DD" w:rsidRPr="000142AB">
        <w:rPr>
          <w:lang w:val="fr-FR"/>
        </w:rPr>
        <w:t xml:space="preserve">épuisement des voies de recours internes, il convient de déterminer </w:t>
      </w:r>
      <w:r w:rsidR="004D2E4C" w:rsidRPr="000142AB">
        <w:rPr>
          <w:lang w:val="fr-FR"/>
        </w:rPr>
        <w:t xml:space="preserve">quel est </w:t>
      </w:r>
      <w:r w:rsidR="009A22DD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9A22DD" w:rsidRPr="000142AB">
        <w:rPr>
          <w:lang w:val="fr-FR"/>
        </w:rPr>
        <w:t>acte des autorités de l</w:t>
      </w:r>
      <w:r w:rsidR="000142AB" w:rsidRPr="000142AB">
        <w:rPr>
          <w:lang w:val="fr-FR"/>
        </w:rPr>
        <w:t>’</w:t>
      </w:r>
      <w:r w:rsidR="0096500C" w:rsidRPr="000142AB">
        <w:rPr>
          <w:rFonts w:cstheme="minorHAnsi"/>
          <w:lang w:val="fr-FR"/>
        </w:rPr>
        <w:t>É</w:t>
      </w:r>
      <w:r w:rsidR="009A22DD" w:rsidRPr="000142AB">
        <w:rPr>
          <w:lang w:val="fr-FR"/>
        </w:rPr>
        <w:t>tat mis en cause qui fait grief</w:t>
      </w:r>
      <w:r w:rsidR="004D2E4C" w:rsidRPr="000142AB">
        <w:rPr>
          <w:lang w:val="fr-FR"/>
        </w:rPr>
        <w:t xml:space="preserve"> à l</w:t>
      </w:r>
      <w:r w:rsidR="000142AB" w:rsidRPr="000142AB">
        <w:rPr>
          <w:lang w:val="fr-FR"/>
        </w:rPr>
        <w:t>’</w:t>
      </w:r>
      <w:r w:rsidR="004D2E4C" w:rsidRPr="000142AB">
        <w:rPr>
          <w:lang w:val="fr-FR"/>
        </w:rPr>
        <w:t>intéressée</w:t>
      </w:r>
      <w:r w:rsidR="009A22DD" w:rsidRPr="000142AB">
        <w:rPr>
          <w:lang w:val="fr-FR"/>
        </w:rPr>
        <w:t xml:space="preserve">. </w:t>
      </w:r>
      <w:r w:rsidR="0096500C" w:rsidRPr="000142AB">
        <w:rPr>
          <w:lang w:val="fr-FR"/>
        </w:rPr>
        <w:t xml:space="preserve">La Cour </w:t>
      </w:r>
      <w:r w:rsidR="0037735C" w:rsidRPr="000142AB">
        <w:rPr>
          <w:lang w:val="fr-FR"/>
        </w:rPr>
        <w:t>observe</w:t>
      </w:r>
      <w:r w:rsidR="00CC7CCE" w:rsidRPr="000142AB">
        <w:rPr>
          <w:lang w:val="fr-FR"/>
        </w:rPr>
        <w:t xml:space="preserve"> </w:t>
      </w:r>
      <w:r w:rsidR="009A22DD" w:rsidRPr="000142AB">
        <w:rPr>
          <w:lang w:val="fr-FR"/>
        </w:rPr>
        <w:t xml:space="preserve">à cet égard </w:t>
      </w:r>
      <w:r w:rsidR="00CC7CCE" w:rsidRPr="000142AB">
        <w:rPr>
          <w:lang w:val="fr-FR"/>
        </w:rPr>
        <w:t xml:space="preserve">que la requérante se plaint du refus des autorités </w:t>
      </w:r>
      <w:r w:rsidR="009A22DD" w:rsidRPr="000142AB">
        <w:rPr>
          <w:lang w:val="fr-FR"/>
        </w:rPr>
        <w:t xml:space="preserve">compétentes </w:t>
      </w:r>
      <w:r w:rsidR="00CC7CCE" w:rsidRPr="000142AB">
        <w:rPr>
          <w:lang w:val="fr-FR"/>
        </w:rPr>
        <w:t xml:space="preserve">de donner exécution à la saisie </w:t>
      </w:r>
      <w:r w:rsidR="00011634" w:rsidRPr="000142AB">
        <w:rPr>
          <w:lang w:val="fr-FR"/>
        </w:rPr>
        <w:t>provisoire</w:t>
      </w:r>
      <w:r w:rsidR="00CC7CCE" w:rsidRPr="000142AB">
        <w:rPr>
          <w:lang w:val="fr-FR"/>
        </w:rPr>
        <w:t xml:space="preserve"> de son immeuble</w:t>
      </w:r>
      <w:r w:rsidR="0058065C" w:rsidRPr="000142AB">
        <w:rPr>
          <w:lang w:val="fr-FR"/>
        </w:rPr>
        <w:t>,</w:t>
      </w:r>
      <w:r w:rsidR="00CC7CCE" w:rsidRPr="000142AB">
        <w:rPr>
          <w:lang w:val="fr-FR"/>
        </w:rPr>
        <w:t xml:space="preserve"> ordonnée </w:t>
      </w:r>
      <w:r w:rsidR="00C57673" w:rsidRPr="000142AB">
        <w:rPr>
          <w:lang w:val="fr-FR"/>
        </w:rPr>
        <w:t xml:space="preserve">le 9 août 2013 </w:t>
      </w:r>
      <w:r w:rsidR="00CC7CCE" w:rsidRPr="000142AB">
        <w:rPr>
          <w:lang w:val="fr-FR"/>
        </w:rPr>
        <w:t>par le juge des investigations préliminaires</w:t>
      </w:r>
      <w:r w:rsidR="006F5C08" w:rsidRPr="000142AB">
        <w:rPr>
          <w:lang w:val="fr-FR"/>
        </w:rPr>
        <w:t xml:space="preserve">, </w:t>
      </w:r>
      <w:r w:rsidR="0058065C" w:rsidRPr="000142AB">
        <w:rPr>
          <w:lang w:val="fr-FR"/>
        </w:rPr>
        <w:t>et</w:t>
      </w:r>
      <w:r w:rsidR="006F5C08" w:rsidRPr="000142AB">
        <w:rPr>
          <w:lang w:val="fr-FR"/>
        </w:rPr>
        <w:t xml:space="preserve"> de</w:t>
      </w:r>
      <w:r w:rsidR="0058065C" w:rsidRPr="000142AB">
        <w:rPr>
          <w:lang w:val="fr-FR"/>
        </w:rPr>
        <w:t xml:space="preserve"> </w:t>
      </w:r>
      <w:r w:rsidR="00F369FB" w:rsidRPr="000142AB">
        <w:rPr>
          <w:lang w:val="fr-FR"/>
        </w:rPr>
        <w:t xml:space="preserve">faire </w:t>
      </w:r>
      <w:r w:rsidR="0058065C" w:rsidRPr="000142AB">
        <w:rPr>
          <w:lang w:val="fr-FR"/>
        </w:rPr>
        <w:t xml:space="preserve">ainsi </w:t>
      </w:r>
      <w:r w:rsidR="00F369FB" w:rsidRPr="000142AB">
        <w:rPr>
          <w:lang w:val="fr-FR"/>
        </w:rPr>
        <w:t xml:space="preserve">évacuer </w:t>
      </w:r>
      <w:r w:rsidR="0058065C" w:rsidRPr="000142AB">
        <w:rPr>
          <w:lang w:val="fr-FR"/>
        </w:rPr>
        <w:t>les lieux</w:t>
      </w:r>
      <w:r w:rsidR="00462D4F" w:rsidRPr="000142AB">
        <w:rPr>
          <w:lang w:val="fr-FR"/>
        </w:rPr>
        <w:t>,</w:t>
      </w:r>
      <w:r w:rsidR="006F5C08" w:rsidRPr="000142AB">
        <w:rPr>
          <w:lang w:val="fr-FR"/>
        </w:rPr>
        <w:t xml:space="preserve"> la</w:t>
      </w:r>
      <w:r w:rsidR="00734866" w:rsidRPr="000142AB">
        <w:rPr>
          <w:lang w:val="fr-FR"/>
        </w:rPr>
        <w:t xml:space="preserve"> saisie de l</w:t>
      </w:r>
      <w:r w:rsidR="000142AB" w:rsidRPr="000142AB">
        <w:rPr>
          <w:lang w:val="fr-FR"/>
        </w:rPr>
        <w:t>’</w:t>
      </w:r>
      <w:r w:rsidR="00734866" w:rsidRPr="000142AB">
        <w:rPr>
          <w:lang w:val="fr-FR"/>
        </w:rPr>
        <w:t xml:space="preserve">immeuble </w:t>
      </w:r>
      <w:r w:rsidR="00462D4F" w:rsidRPr="000142AB">
        <w:rPr>
          <w:lang w:val="fr-FR"/>
        </w:rPr>
        <w:t>ayant été</w:t>
      </w:r>
      <w:r w:rsidR="00736FA1" w:rsidRPr="000142AB">
        <w:rPr>
          <w:lang w:val="fr-FR"/>
        </w:rPr>
        <w:t xml:space="preserve"> ordonnée dans le but de </w:t>
      </w:r>
      <w:r w:rsidR="006F5C08" w:rsidRPr="000142AB">
        <w:rPr>
          <w:lang w:val="fr-FR"/>
        </w:rPr>
        <w:t xml:space="preserve">préserver </w:t>
      </w:r>
      <w:r w:rsidR="00462D4F" w:rsidRPr="000142AB">
        <w:rPr>
          <w:lang w:val="fr-FR"/>
        </w:rPr>
        <w:t>son droit de propriété en tant que</w:t>
      </w:r>
      <w:r w:rsidR="008C1F56" w:rsidRPr="000142AB">
        <w:rPr>
          <w:lang w:val="fr-FR"/>
        </w:rPr>
        <w:t xml:space="preserve"> partie lésée dans la procédure</w:t>
      </w:r>
      <w:r w:rsidR="00B43D51" w:rsidRPr="000142AB">
        <w:rPr>
          <w:lang w:val="fr-FR"/>
        </w:rPr>
        <w:t xml:space="preserve"> et</w:t>
      </w:r>
      <w:r w:rsidR="00821582" w:rsidRPr="000142AB">
        <w:rPr>
          <w:lang w:val="fr-FR"/>
        </w:rPr>
        <w:t xml:space="preserve"> de</w:t>
      </w:r>
      <w:r w:rsidR="00B43D51" w:rsidRPr="000142AB">
        <w:rPr>
          <w:lang w:val="fr-FR"/>
        </w:rPr>
        <w:t xml:space="preserve"> lui permettre de rentrer en possession de son bien</w:t>
      </w:r>
      <w:r w:rsidR="006F5C08" w:rsidRPr="000142AB">
        <w:rPr>
          <w:lang w:val="fr-FR"/>
        </w:rPr>
        <w:t xml:space="preserve"> (paragraphe </w:t>
      </w:r>
      <w:r w:rsidR="00B43D51" w:rsidRPr="000142AB">
        <w:rPr>
          <w:lang w:val="fr-FR"/>
        </w:rPr>
        <w:fldChar w:fldCharType="begin"/>
      </w:r>
      <w:r w:rsidR="00B43D51" w:rsidRPr="000142AB">
        <w:rPr>
          <w:lang w:val="fr-FR"/>
        </w:rPr>
        <w:instrText xml:space="preserve"> REF ordredesaisie \h </w:instrText>
      </w:r>
      <w:r w:rsidR="00B43D51" w:rsidRPr="000142AB">
        <w:rPr>
          <w:lang w:val="fr-FR"/>
        </w:rPr>
      </w:r>
      <w:r w:rsidR="00B43D51"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10</w:t>
      </w:r>
      <w:r w:rsidR="00B43D51" w:rsidRPr="000142AB">
        <w:rPr>
          <w:lang w:val="fr-FR"/>
        </w:rPr>
        <w:fldChar w:fldCharType="end"/>
      </w:r>
      <w:r w:rsidR="00B43D51" w:rsidRPr="000142AB">
        <w:rPr>
          <w:lang w:val="fr-FR"/>
        </w:rPr>
        <w:t xml:space="preserve"> ci-dessus).</w:t>
      </w:r>
    </w:p>
    <w:p w:rsidR="007D1098" w:rsidRPr="000142AB" w:rsidRDefault="00B76A49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La Cour</w:t>
      </w:r>
      <w:r w:rsidR="00CC7CCE" w:rsidRPr="000142AB">
        <w:rPr>
          <w:lang w:val="fr-FR"/>
        </w:rPr>
        <w:t xml:space="preserve"> remarque </w:t>
      </w:r>
      <w:r w:rsidR="00594DEF" w:rsidRPr="000142AB">
        <w:rPr>
          <w:lang w:val="fr-FR"/>
        </w:rPr>
        <w:t>tout d</w:t>
      </w:r>
      <w:r w:rsidR="000142AB" w:rsidRPr="000142AB">
        <w:rPr>
          <w:lang w:val="fr-FR"/>
        </w:rPr>
        <w:t>’</w:t>
      </w:r>
      <w:r w:rsidR="00594DEF" w:rsidRPr="000142AB">
        <w:rPr>
          <w:lang w:val="fr-FR"/>
        </w:rPr>
        <w:t xml:space="preserve">abord </w:t>
      </w:r>
      <w:r w:rsidR="00C57673" w:rsidRPr="000142AB">
        <w:rPr>
          <w:lang w:val="fr-FR"/>
        </w:rPr>
        <w:t>que le Gouvernement n</w:t>
      </w:r>
      <w:r w:rsidR="000142AB" w:rsidRPr="000142AB">
        <w:rPr>
          <w:lang w:val="fr-FR"/>
        </w:rPr>
        <w:t>’</w:t>
      </w:r>
      <w:r w:rsidR="00C57673" w:rsidRPr="000142AB">
        <w:rPr>
          <w:lang w:val="fr-FR"/>
        </w:rPr>
        <w:t>a pas indiqué quel</w:t>
      </w:r>
      <w:r w:rsidR="001F7F25" w:rsidRPr="000142AB">
        <w:rPr>
          <w:lang w:val="fr-FR"/>
        </w:rPr>
        <w:t xml:space="preserve"> type de recours devant le juge civil aurait pu aboutir </w:t>
      </w:r>
      <w:r w:rsidR="00355A82" w:rsidRPr="000142AB">
        <w:rPr>
          <w:lang w:val="fr-FR"/>
        </w:rPr>
        <w:t>directement</w:t>
      </w:r>
      <w:r w:rsidR="00594DEF" w:rsidRPr="000142AB">
        <w:rPr>
          <w:lang w:val="fr-FR"/>
        </w:rPr>
        <w:t xml:space="preserve"> à une telle exécution</w:t>
      </w:r>
      <w:r w:rsidR="006C5699" w:rsidRPr="000142AB">
        <w:rPr>
          <w:lang w:val="fr-FR"/>
        </w:rPr>
        <w:t xml:space="preserve"> et à </w:t>
      </w:r>
      <w:r w:rsidR="00F369FB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F369FB" w:rsidRPr="000142AB">
        <w:rPr>
          <w:lang w:val="fr-FR"/>
        </w:rPr>
        <w:t>évacuation</w:t>
      </w:r>
      <w:r w:rsidR="006C5699" w:rsidRPr="000142AB">
        <w:rPr>
          <w:lang w:val="fr-FR"/>
        </w:rPr>
        <w:t xml:space="preserve"> des lieux. </w:t>
      </w:r>
      <w:r w:rsidR="002136A8" w:rsidRPr="000142AB">
        <w:rPr>
          <w:lang w:val="fr-FR"/>
        </w:rPr>
        <w:t xml:space="preserve">Elle observe par ailleurs que </w:t>
      </w:r>
      <w:r w:rsidR="00462D4F" w:rsidRPr="000142AB">
        <w:rPr>
          <w:lang w:val="fr-FR"/>
        </w:rPr>
        <w:t xml:space="preserve">la tentative </w:t>
      </w:r>
      <w:r w:rsidR="00F369FB" w:rsidRPr="000142AB">
        <w:rPr>
          <w:lang w:val="fr-FR"/>
        </w:rPr>
        <w:t xml:space="preserve">par laquelle </w:t>
      </w:r>
      <w:r w:rsidR="00462D4F" w:rsidRPr="000142AB">
        <w:rPr>
          <w:lang w:val="fr-FR"/>
        </w:rPr>
        <w:t xml:space="preserve">la requérante </w:t>
      </w:r>
      <w:r w:rsidR="00F369FB" w:rsidRPr="000142AB">
        <w:rPr>
          <w:lang w:val="fr-FR"/>
        </w:rPr>
        <w:t xml:space="preserve">a </w:t>
      </w:r>
      <w:r w:rsidR="00F91ACE" w:rsidRPr="000142AB">
        <w:rPr>
          <w:lang w:val="fr-FR"/>
        </w:rPr>
        <w:t>essayé</w:t>
      </w:r>
      <w:r w:rsidR="00F369FB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462D4F" w:rsidRPr="000142AB">
        <w:rPr>
          <w:lang w:val="fr-FR"/>
        </w:rPr>
        <w:t>identifier les occupants</w:t>
      </w:r>
      <w:r w:rsidR="0091179C" w:rsidRPr="000142AB">
        <w:rPr>
          <w:lang w:val="fr-FR"/>
        </w:rPr>
        <w:t xml:space="preserve"> </w:t>
      </w:r>
      <w:r w:rsidR="00F369FB" w:rsidRPr="000142AB">
        <w:rPr>
          <w:lang w:val="fr-FR"/>
        </w:rPr>
        <w:t xml:space="preserve">dans le but de </w:t>
      </w:r>
      <w:r w:rsidR="0091179C" w:rsidRPr="000142AB">
        <w:rPr>
          <w:lang w:val="fr-FR"/>
        </w:rPr>
        <w:t>les assigner en justice</w:t>
      </w:r>
      <w:r w:rsidR="00462D4F" w:rsidRPr="000142AB">
        <w:rPr>
          <w:lang w:val="fr-FR"/>
        </w:rPr>
        <w:t xml:space="preserve"> </w:t>
      </w:r>
      <w:r w:rsidR="0096500C" w:rsidRPr="000142AB">
        <w:rPr>
          <w:lang w:val="fr-FR"/>
        </w:rPr>
        <w:t>n</w:t>
      </w:r>
      <w:r w:rsidR="000142AB" w:rsidRPr="000142AB">
        <w:rPr>
          <w:lang w:val="fr-FR"/>
        </w:rPr>
        <w:t>’</w:t>
      </w:r>
      <w:r w:rsidR="0096500C" w:rsidRPr="000142AB">
        <w:rPr>
          <w:lang w:val="fr-FR"/>
        </w:rPr>
        <w:t>a pas</w:t>
      </w:r>
      <w:r w:rsidR="0091179C" w:rsidRPr="000142AB">
        <w:rPr>
          <w:lang w:val="fr-FR"/>
        </w:rPr>
        <w:t xml:space="preserve"> abouti</w:t>
      </w:r>
      <w:r w:rsidR="00462D4F" w:rsidRPr="000142AB">
        <w:rPr>
          <w:lang w:val="fr-FR"/>
        </w:rPr>
        <w:t xml:space="preserve"> en raison du refus des autorités de </w:t>
      </w:r>
      <w:r w:rsidR="008C1F56" w:rsidRPr="000142AB">
        <w:rPr>
          <w:lang w:val="fr-FR"/>
        </w:rPr>
        <w:t>communiquer le</w:t>
      </w:r>
      <w:r w:rsidR="0096500C" w:rsidRPr="000142AB">
        <w:rPr>
          <w:lang w:val="fr-FR"/>
        </w:rPr>
        <w:t>s</w:t>
      </w:r>
      <w:r w:rsidR="008C1F56" w:rsidRPr="000142AB">
        <w:rPr>
          <w:lang w:val="fr-FR"/>
        </w:rPr>
        <w:t xml:space="preserve"> données</w:t>
      </w:r>
      <w:r w:rsidR="0096500C" w:rsidRPr="000142AB">
        <w:rPr>
          <w:lang w:val="fr-FR"/>
        </w:rPr>
        <w:t xml:space="preserve"> les concernant</w:t>
      </w:r>
      <w:r w:rsidR="00462D4F" w:rsidRPr="000142AB">
        <w:rPr>
          <w:lang w:val="fr-FR"/>
        </w:rPr>
        <w:t xml:space="preserve"> (paragraphe</w:t>
      </w:r>
      <w:r w:rsidR="00F369FB" w:rsidRPr="000142AB">
        <w:rPr>
          <w:lang w:val="fr-FR"/>
        </w:rPr>
        <w:t xml:space="preserve"> 13 </w:t>
      </w:r>
      <w:r w:rsidR="008C1F56" w:rsidRPr="000142AB">
        <w:rPr>
          <w:lang w:val="fr-FR"/>
        </w:rPr>
        <w:t>c</w:t>
      </w:r>
      <w:r w:rsidR="000142AB" w:rsidRPr="000142AB">
        <w:rPr>
          <w:lang w:val="fr-FR"/>
        </w:rPr>
        <w:t>i</w:t>
      </w:r>
      <w:r w:rsidR="000142AB" w:rsidRPr="000142AB">
        <w:rPr>
          <w:lang w:val="fr-FR"/>
        </w:rPr>
        <w:noBreakHyphen/>
      </w:r>
      <w:r w:rsidR="00462D4F" w:rsidRPr="000142AB">
        <w:rPr>
          <w:lang w:val="fr-FR"/>
        </w:rPr>
        <w:t>dessus).</w:t>
      </w:r>
      <w:r w:rsidR="002136A8" w:rsidRPr="000142AB">
        <w:rPr>
          <w:lang w:val="fr-FR"/>
        </w:rPr>
        <w:t xml:space="preserve"> </w:t>
      </w:r>
      <w:r w:rsidR="00F369FB" w:rsidRPr="000142AB">
        <w:rPr>
          <w:lang w:val="fr-FR"/>
        </w:rPr>
        <w:t>L</w:t>
      </w:r>
      <w:r w:rsidR="004E5D69" w:rsidRPr="000142AB">
        <w:rPr>
          <w:lang w:val="fr-FR"/>
        </w:rPr>
        <w:t xml:space="preserve">a Cour rappelle </w:t>
      </w:r>
      <w:r w:rsidR="000962BE" w:rsidRPr="000142AB">
        <w:rPr>
          <w:lang w:val="fr-FR"/>
        </w:rPr>
        <w:t xml:space="preserve">au passage </w:t>
      </w:r>
      <w:r w:rsidR="004E5D69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2136A8" w:rsidRPr="000142AB">
        <w:rPr>
          <w:lang w:val="fr-FR"/>
        </w:rPr>
        <w:t>un recours indemnitaire ne serait pas de nature à compenser l</w:t>
      </w:r>
      <w:r w:rsidR="000142AB" w:rsidRPr="000142AB">
        <w:rPr>
          <w:lang w:val="fr-FR"/>
        </w:rPr>
        <w:t>’</w:t>
      </w:r>
      <w:r w:rsidR="002136A8" w:rsidRPr="000142AB">
        <w:rPr>
          <w:lang w:val="fr-FR"/>
        </w:rPr>
        <w:t>inaction des autorités vis-à-vis de l</w:t>
      </w:r>
      <w:r w:rsidR="000142AB" w:rsidRPr="000142AB">
        <w:rPr>
          <w:lang w:val="fr-FR"/>
        </w:rPr>
        <w:t>’</w:t>
      </w:r>
      <w:r w:rsidR="002136A8" w:rsidRPr="000142AB">
        <w:rPr>
          <w:lang w:val="fr-FR"/>
        </w:rPr>
        <w:t>occupation de la propriété de la requérante (</w:t>
      </w:r>
      <w:r w:rsidR="0096500C" w:rsidRPr="000142AB">
        <w:rPr>
          <w:lang w:val="fr-FR"/>
        </w:rPr>
        <w:t xml:space="preserve">voir, </w:t>
      </w:r>
      <w:r w:rsidR="002136A8" w:rsidRPr="000142AB">
        <w:rPr>
          <w:i/>
          <w:lang w:val="fr-FR"/>
        </w:rPr>
        <w:t>mutatis mutandis</w:t>
      </w:r>
      <w:r w:rsidR="002136A8" w:rsidRPr="000142AB">
        <w:rPr>
          <w:lang w:val="fr-FR"/>
        </w:rPr>
        <w:t>,</w:t>
      </w:r>
      <w:r w:rsidR="0075652F" w:rsidRPr="000142AB">
        <w:rPr>
          <w:lang w:val="fr-FR"/>
        </w:rPr>
        <w:t xml:space="preserve"> </w:t>
      </w:r>
      <w:r w:rsidR="00EB0AB4" w:rsidRPr="000142AB">
        <w:rPr>
          <w:i/>
          <w:lang w:val="fr-FR"/>
        </w:rPr>
        <w:t>Matheus c. </w:t>
      </w:r>
      <w:r w:rsidR="007D1098" w:rsidRPr="000142AB">
        <w:rPr>
          <w:i/>
          <w:lang w:val="fr-FR"/>
        </w:rPr>
        <w:t>France</w:t>
      </w:r>
      <w:r w:rsidR="007D1098" w:rsidRPr="000142AB">
        <w:rPr>
          <w:lang w:val="pt-PT"/>
        </w:rPr>
        <w:t>, n</w:t>
      </w:r>
      <w:r w:rsidR="007D1098" w:rsidRPr="000142AB">
        <w:rPr>
          <w:vertAlign w:val="superscript"/>
          <w:lang w:val="pt-PT"/>
        </w:rPr>
        <w:t>o</w:t>
      </w:r>
      <w:r w:rsidR="007D1098" w:rsidRPr="000142AB">
        <w:rPr>
          <w:lang w:val="pt-PT"/>
        </w:rPr>
        <w:t xml:space="preserve"> 62740/00, § 71, 31 mars 2005</w:t>
      </w:r>
      <w:r w:rsidR="0096500C" w:rsidRPr="000142AB">
        <w:rPr>
          <w:lang w:val="pt-PT"/>
        </w:rPr>
        <w:t>, et</w:t>
      </w:r>
      <w:r w:rsidR="007D1098" w:rsidRPr="000142AB">
        <w:rPr>
          <w:lang w:val="fr-FR"/>
        </w:rPr>
        <w:t xml:space="preserve"> </w:t>
      </w:r>
      <w:r w:rsidR="007D1098" w:rsidRPr="000142AB">
        <w:rPr>
          <w:i/>
          <w:lang w:val="fr-FR"/>
        </w:rPr>
        <w:t>Sud Est Réalisations c.</w:t>
      </w:r>
      <w:r w:rsidR="00EB0AB4" w:rsidRPr="000142AB">
        <w:rPr>
          <w:i/>
          <w:lang w:val="fr-FR"/>
        </w:rPr>
        <w:t> </w:t>
      </w:r>
      <w:r w:rsidR="007D1098" w:rsidRPr="000142AB">
        <w:rPr>
          <w:i/>
          <w:lang w:val="fr-FR"/>
        </w:rPr>
        <w:t>France</w:t>
      </w:r>
      <w:r w:rsidR="007D1098" w:rsidRPr="000142AB">
        <w:rPr>
          <w:lang w:val="fr-FR"/>
        </w:rPr>
        <w:t>, n</w:t>
      </w:r>
      <w:r w:rsidR="007D1098" w:rsidRPr="000142AB">
        <w:rPr>
          <w:vertAlign w:val="superscript"/>
          <w:lang w:val="fr-FR"/>
        </w:rPr>
        <w:t>o</w:t>
      </w:r>
      <w:r w:rsidR="00EB0AB4" w:rsidRPr="000142AB">
        <w:rPr>
          <w:vertAlign w:val="superscript"/>
          <w:lang w:val="fr-FR"/>
        </w:rPr>
        <w:t> </w:t>
      </w:r>
      <w:r w:rsidR="007D1098" w:rsidRPr="000142AB">
        <w:rPr>
          <w:lang w:val="fr-FR"/>
        </w:rPr>
        <w:t>6722/05, § 59, 2 décembre 2010</w:t>
      </w:r>
      <w:r w:rsidR="0021037A" w:rsidRPr="000142AB">
        <w:rPr>
          <w:lang w:val="fr-FR"/>
        </w:rPr>
        <w:t>).</w:t>
      </w:r>
    </w:p>
    <w:p w:rsidR="0075652F" w:rsidRPr="000142AB" w:rsidRDefault="00F2242E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34</w:t>
      </w:r>
      <w:r w:rsidRPr="000142AB">
        <w:rPr>
          <w:lang w:val="fr-FR"/>
        </w:rPr>
        <w:fldChar w:fldCharType="end"/>
      </w:r>
      <w:r w:rsidR="00CF3F65" w:rsidRPr="000142AB">
        <w:rPr>
          <w:lang w:val="fr-FR"/>
        </w:rPr>
        <w:t>. </w:t>
      </w:r>
      <w:r w:rsidR="0096500C" w:rsidRPr="000142AB">
        <w:rPr>
          <w:lang w:val="fr-FR"/>
        </w:rPr>
        <w:t> </w:t>
      </w:r>
      <w:r w:rsidR="000B1B08" w:rsidRPr="000142AB">
        <w:rPr>
          <w:lang w:val="fr-FR"/>
        </w:rPr>
        <w:t>Quoi qu</w:t>
      </w:r>
      <w:r w:rsidR="000142AB" w:rsidRPr="000142AB">
        <w:rPr>
          <w:lang w:val="fr-FR"/>
        </w:rPr>
        <w:t>’</w:t>
      </w:r>
      <w:r w:rsidR="000B1B08" w:rsidRPr="000142AB">
        <w:rPr>
          <w:lang w:val="fr-FR"/>
        </w:rPr>
        <w:t xml:space="preserve">il en soit, dans la mesure où la requérante </w:t>
      </w:r>
      <w:r w:rsidR="0096500C" w:rsidRPr="000142AB">
        <w:rPr>
          <w:lang w:val="fr-FR"/>
        </w:rPr>
        <w:t>se plaint d</w:t>
      </w:r>
      <w:r w:rsidR="000142AB" w:rsidRPr="000142AB">
        <w:rPr>
          <w:lang w:val="fr-FR"/>
        </w:rPr>
        <w:t>’</w:t>
      </w:r>
      <w:r w:rsidR="000A02D7" w:rsidRPr="000142AB">
        <w:rPr>
          <w:lang w:val="fr-FR"/>
        </w:rPr>
        <w:t xml:space="preserve">une </w:t>
      </w:r>
      <w:r w:rsidR="000B1B08" w:rsidRPr="000142AB">
        <w:rPr>
          <w:lang w:val="fr-FR"/>
        </w:rPr>
        <w:t xml:space="preserve">atteinte à son droit de propriété, la Cour note que la plainte déposée par </w:t>
      </w:r>
      <w:r w:rsidR="00821582" w:rsidRPr="000142AB">
        <w:rPr>
          <w:lang w:val="fr-FR"/>
        </w:rPr>
        <w:t>elle</w:t>
      </w:r>
      <w:r w:rsidR="000B1B08" w:rsidRPr="000142AB">
        <w:rPr>
          <w:lang w:val="fr-FR"/>
        </w:rPr>
        <w:t xml:space="preserve"> </w:t>
      </w:r>
      <w:r w:rsidR="00544F6E" w:rsidRPr="000142AB">
        <w:rPr>
          <w:lang w:val="fr-FR"/>
        </w:rPr>
        <w:t xml:space="preserve">le jour </w:t>
      </w:r>
      <w:r w:rsidR="00F369FB" w:rsidRPr="000142AB">
        <w:rPr>
          <w:lang w:val="fr-FR"/>
        </w:rPr>
        <w:t xml:space="preserve">du début </w:t>
      </w:r>
      <w:r w:rsidR="00544F6E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544F6E" w:rsidRPr="000142AB">
        <w:rPr>
          <w:lang w:val="fr-FR"/>
        </w:rPr>
        <w:t>occupation</w:t>
      </w:r>
      <w:r w:rsidR="00F91ACE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F91ACE" w:rsidRPr="000142AB">
        <w:rPr>
          <w:lang w:val="fr-FR"/>
        </w:rPr>
        <w:t>immeuble</w:t>
      </w:r>
      <w:r w:rsidR="00544F6E" w:rsidRPr="000142AB">
        <w:rPr>
          <w:lang w:val="fr-FR"/>
        </w:rPr>
        <w:t xml:space="preserve">, </w:t>
      </w:r>
      <w:r w:rsidR="0096500C" w:rsidRPr="000142AB">
        <w:rPr>
          <w:lang w:val="fr-FR"/>
        </w:rPr>
        <w:t xml:space="preserve">qui a été </w:t>
      </w:r>
      <w:r w:rsidR="00486811" w:rsidRPr="000142AB">
        <w:rPr>
          <w:lang w:val="fr-FR"/>
        </w:rPr>
        <w:t>réité</w:t>
      </w:r>
      <w:r w:rsidR="000B1B08" w:rsidRPr="000142AB">
        <w:rPr>
          <w:lang w:val="fr-FR"/>
        </w:rPr>
        <w:t xml:space="preserve">rée à </w:t>
      </w:r>
      <w:r w:rsidR="00486811" w:rsidRPr="000142AB">
        <w:rPr>
          <w:lang w:val="fr-FR"/>
        </w:rPr>
        <w:t xml:space="preserve">plusieurs reprises par la suite </w:t>
      </w:r>
      <w:r w:rsidR="00544F6E" w:rsidRPr="000142AB">
        <w:rPr>
          <w:lang w:val="fr-FR"/>
        </w:rPr>
        <w:t xml:space="preserve">et </w:t>
      </w:r>
      <w:r w:rsidR="0096500C" w:rsidRPr="000142AB">
        <w:rPr>
          <w:lang w:val="fr-FR"/>
        </w:rPr>
        <w:t xml:space="preserve">qui a </w:t>
      </w:r>
      <w:r w:rsidR="00FD5BF2" w:rsidRPr="000142AB">
        <w:rPr>
          <w:lang w:val="fr-FR"/>
        </w:rPr>
        <w:t>donné lieu à</w:t>
      </w:r>
      <w:r w:rsidR="00544F6E" w:rsidRPr="000142AB">
        <w:rPr>
          <w:lang w:val="fr-FR"/>
        </w:rPr>
        <w:t xml:space="preserve"> la mesure de saisie </w:t>
      </w:r>
      <w:r w:rsidR="00011634" w:rsidRPr="000142AB">
        <w:rPr>
          <w:lang w:val="fr-FR"/>
        </w:rPr>
        <w:t>provisoire</w:t>
      </w:r>
      <w:r w:rsidR="002E1D40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2E1D40" w:rsidRPr="000142AB">
        <w:rPr>
          <w:lang w:val="fr-FR"/>
        </w:rPr>
        <w:t>immeuble</w:t>
      </w:r>
      <w:r w:rsidR="00544F6E" w:rsidRPr="000142AB">
        <w:rPr>
          <w:lang w:val="fr-FR"/>
        </w:rPr>
        <w:t xml:space="preserve">, </w:t>
      </w:r>
      <w:r w:rsidR="00486811" w:rsidRPr="000142AB">
        <w:rPr>
          <w:lang w:val="fr-FR"/>
        </w:rPr>
        <w:t xml:space="preserve">visait précisément </w:t>
      </w:r>
      <w:r w:rsidR="0096500C" w:rsidRPr="000142AB">
        <w:rPr>
          <w:lang w:val="fr-FR"/>
        </w:rPr>
        <w:t xml:space="preserve">à </w:t>
      </w:r>
      <w:r w:rsidR="00F95426" w:rsidRPr="000142AB">
        <w:rPr>
          <w:lang w:val="fr-FR"/>
        </w:rPr>
        <w:t xml:space="preserve">la reconnaissance </w:t>
      </w:r>
      <w:r w:rsidR="00544F6E" w:rsidRPr="000142AB">
        <w:rPr>
          <w:lang w:val="fr-FR"/>
        </w:rPr>
        <w:t>du</w:t>
      </w:r>
      <w:r w:rsidR="00F95426" w:rsidRPr="000142AB">
        <w:rPr>
          <w:lang w:val="fr-FR"/>
        </w:rPr>
        <w:t xml:space="preserve"> droit de propriété </w:t>
      </w:r>
      <w:r w:rsidR="00670738" w:rsidRPr="000142AB">
        <w:rPr>
          <w:lang w:val="fr-FR"/>
        </w:rPr>
        <w:t xml:space="preserve">de la requérante </w:t>
      </w:r>
      <w:r w:rsidR="00F95426" w:rsidRPr="000142AB">
        <w:rPr>
          <w:lang w:val="fr-FR"/>
        </w:rPr>
        <w:t xml:space="preserve">et </w:t>
      </w:r>
      <w:r w:rsidR="00F369FB" w:rsidRPr="000142AB">
        <w:rPr>
          <w:lang w:val="fr-FR"/>
        </w:rPr>
        <w:t>à l</w:t>
      </w:r>
      <w:r w:rsidR="000142AB" w:rsidRPr="000142AB">
        <w:rPr>
          <w:lang w:val="fr-FR"/>
        </w:rPr>
        <w:t>’</w:t>
      </w:r>
      <w:r w:rsidR="00F369FB" w:rsidRPr="000142AB">
        <w:rPr>
          <w:lang w:val="fr-FR"/>
        </w:rPr>
        <w:t>évacuation</w:t>
      </w:r>
      <w:r w:rsidR="00F95426" w:rsidRPr="000142AB">
        <w:rPr>
          <w:lang w:val="fr-FR"/>
        </w:rPr>
        <w:t xml:space="preserve"> des lieux.</w:t>
      </w:r>
    </w:p>
    <w:p w:rsidR="00AD5D44" w:rsidRPr="000142AB" w:rsidRDefault="00F95426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35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420C64" w:rsidRPr="000142AB">
        <w:rPr>
          <w:lang w:val="fr-FR"/>
        </w:rPr>
        <w:t xml:space="preserve">Par </w:t>
      </w:r>
      <w:r w:rsidR="00F23B2E" w:rsidRPr="000142AB">
        <w:rPr>
          <w:lang w:val="fr-FR"/>
        </w:rPr>
        <w:t>ailleurs</w:t>
      </w:r>
      <w:r w:rsidR="008E6674" w:rsidRPr="000142AB">
        <w:rPr>
          <w:lang w:val="fr-FR"/>
        </w:rPr>
        <w:t>, la Cour note que ce sont les autorités qui sont tenues de prêter leur concours à l</w:t>
      </w:r>
      <w:r w:rsidR="000142AB" w:rsidRPr="000142AB">
        <w:rPr>
          <w:lang w:val="fr-FR"/>
        </w:rPr>
        <w:t>’</w:t>
      </w:r>
      <w:r w:rsidR="008E6674" w:rsidRPr="000142AB">
        <w:rPr>
          <w:lang w:val="fr-FR"/>
        </w:rPr>
        <w:t xml:space="preserve">exécution de </w:t>
      </w:r>
      <w:r w:rsidR="00486811" w:rsidRPr="000142AB">
        <w:rPr>
          <w:lang w:val="fr-FR"/>
        </w:rPr>
        <w:t xml:space="preserve">la décision </w:t>
      </w:r>
      <w:r w:rsidR="00F23B2E" w:rsidRPr="000142AB">
        <w:rPr>
          <w:lang w:val="fr-FR"/>
        </w:rPr>
        <w:t>du juge des investigations préliminaire</w:t>
      </w:r>
      <w:r w:rsidR="0089404F" w:rsidRPr="000142AB">
        <w:rPr>
          <w:lang w:val="fr-FR"/>
        </w:rPr>
        <w:t>s</w:t>
      </w:r>
      <w:r w:rsidR="008E6674" w:rsidRPr="000142AB">
        <w:rPr>
          <w:lang w:val="fr-FR"/>
        </w:rPr>
        <w:t xml:space="preserve"> </w:t>
      </w:r>
      <w:r w:rsidR="003D434E" w:rsidRPr="000142AB">
        <w:rPr>
          <w:lang w:val="fr-FR"/>
        </w:rPr>
        <w:t xml:space="preserve">pour </w:t>
      </w:r>
      <w:r w:rsidR="008E6674" w:rsidRPr="000142AB">
        <w:rPr>
          <w:lang w:val="fr-FR"/>
        </w:rPr>
        <w:t xml:space="preserve">que la requérante </w:t>
      </w:r>
      <w:r w:rsidR="003D434E" w:rsidRPr="000142AB">
        <w:rPr>
          <w:lang w:val="fr-FR"/>
        </w:rPr>
        <w:t xml:space="preserve">puisse </w:t>
      </w:r>
      <w:r w:rsidR="00F234F9" w:rsidRPr="000142AB">
        <w:rPr>
          <w:lang w:val="fr-FR"/>
        </w:rPr>
        <w:t>obtenir la libération de</w:t>
      </w:r>
      <w:r w:rsidR="008E6674" w:rsidRPr="000142AB">
        <w:rPr>
          <w:lang w:val="fr-FR"/>
        </w:rPr>
        <w:t xml:space="preserve"> son </w:t>
      </w:r>
      <w:r w:rsidR="00486811" w:rsidRPr="000142AB">
        <w:rPr>
          <w:lang w:val="fr-FR"/>
        </w:rPr>
        <w:t>immeuble</w:t>
      </w:r>
      <w:r w:rsidR="008E6674" w:rsidRPr="000142AB">
        <w:rPr>
          <w:lang w:val="fr-FR"/>
        </w:rPr>
        <w:t>. Dès lors</w:t>
      </w:r>
      <w:r w:rsidR="0089404F" w:rsidRPr="000142AB">
        <w:rPr>
          <w:lang w:val="fr-FR"/>
        </w:rPr>
        <w:t>,</w:t>
      </w:r>
      <w:r w:rsidR="008E6674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8E6674" w:rsidRPr="000142AB">
        <w:rPr>
          <w:lang w:val="fr-FR"/>
        </w:rPr>
        <w:t>obligation d</w:t>
      </w:r>
      <w:r w:rsidR="000142AB" w:rsidRPr="000142AB">
        <w:rPr>
          <w:lang w:val="fr-FR"/>
        </w:rPr>
        <w:t>’</w:t>
      </w:r>
      <w:r w:rsidR="008E6674" w:rsidRPr="000142AB">
        <w:rPr>
          <w:lang w:val="fr-FR"/>
        </w:rPr>
        <w:t xml:space="preserve">agir pèse sur les autorités et non pas sur </w:t>
      </w:r>
      <w:r w:rsidR="008E6674" w:rsidRPr="000142AB">
        <w:rPr>
          <w:lang w:val="fr-FR"/>
        </w:rPr>
        <w:lastRenderedPageBreak/>
        <w:t xml:space="preserve">la requérante. </w:t>
      </w:r>
      <w:r w:rsidR="0073524B" w:rsidRPr="000142AB">
        <w:rPr>
          <w:lang w:val="fr-FR"/>
        </w:rPr>
        <w:t>Exiger d</w:t>
      </w:r>
      <w:r w:rsidR="003D434E" w:rsidRPr="000142AB">
        <w:rPr>
          <w:lang w:val="fr-FR"/>
        </w:rPr>
        <w:t>e l</w:t>
      </w:r>
      <w:r w:rsidR="000142AB" w:rsidRPr="000142AB">
        <w:rPr>
          <w:lang w:val="fr-FR"/>
        </w:rPr>
        <w:t>’</w:t>
      </w:r>
      <w:r w:rsidR="003D434E" w:rsidRPr="000142AB">
        <w:rPr>
          <w:lang w:val="fr-FR"/>
        </w:rPr>
        <w:t>intéressée</w:t>
      </w:r>
      <w:r w:rsidR="0073524B" w:rsidRPr="000142AB">
        <w:rPr>
          <w:lang w:val="fr-FR"/>
        </w:rPr>
        <w:t xml:space="preserve"> </w:t>
      </w:r>
      <w:r w:rsidR="003D434E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3D434E" w:rsidRPr="000142AB">
        <w:rPr>
          <w:lang w:val="fr-FR"/>
        </w:rPr>
        <w:t>accomplissement</w:t>
      </w:r>
      <w:r w:rsidR="0073524B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73524B" w:rsidRPr="000142AB">
        <w:rPr>
          <w:lang w:val="fr-FR"/>
        </w:rPr>
        <w:t>autres démarches dont le</w:t>
      </w:r>
      <w:r w:rsidR="00185F44" w:rsidRPr="000142AB">
        <w:rPr>
          <w:lang w:val="fr-FR"/>
        </w:rPr>
        <w:t>s</w:t>
      </w:r>
      <w:r w:rsidR="0073524B" w:rsidRPr="000142AB">
        <w:rPr>
          <w:lang w:val="fr-FR"/>
        </w:rPr>
        <w:t xml:space="preserve"> résultat</w:t>
      </w:r>
      <w:r w:rsidR="00185F44" w:rsidRPr="000142AB">
        <w:rPr>
          <w:lang w:val="fr-FR"/>
        </w:rPr>
        <w:t>s</w:t>
      </w:r>
      <w:r w:rsidR="0073524B" w:rsidRPr="000142AB">
        <w:rPr>
          <w:lang w:val="fr-FR"/>
        </w:rPr>
        <w:t xml:space="preserve"> </w:t>
      </w:r>
      <w:r w:rsidR="00185F44" w:rsidRPr="000142AB">
        <w:rPr>
          <w:lang w:val="fr-FR"/>
        </w:rPr>
        <w:t>ne pourraient être qu</w:t>
      </w:r>
      <w:r w:rsidR="000142AB" w:rsidRPr="000142AB">
        <w:rPr>
          <w:lang w:val="fr-FR"/>
        </w:rPr>
        <w:t>’</w:t>
      </w:r>
      <w:r w:rsidR="00185F44" w:rsidRPr="000142AB">
        <w:rPr>
          <w:lang w:val="fr-FR"/>
        </w:rPr>
        <w:t>identiques</w:t>
      </w:r>
      <w:r w:rsidR="0073524B" w:rsidRPr="000142AB">
        <w:rPr>
          <w:lang w:val="fr-FR"/>
        </w:rPr>
        <w:t>, compte tenu de ce que les occupants résident illégalement dans l</w:t>
      </w:r>
      <w:r w:rsidR="000142AB" w:rsidRPr="000142AB">
        <w:rPr>
          <w:lang w:val="fr-FR"/>
        </w:rPr>
        <w:t>’</w:t>
      </w:r>
      <w:r w:rsidR="0073524B" w:rsidRPr="000142AB">
        <w:rPr>
          <w:lang w:val="fr-FR"/>
        </w:rPr>
        <w:t>immeuble sans avoir été ni identifiés ni interpellés, ne correspondrait pas à l</w:t>
      </w:r>
      <w:r w:rsidR="000142AB" w:rsidRPr="000142AB">
        <w:rPr>
          <w:lang w:val="fr-FR"/>
        </w:rPr>
        <w:t>’</w:t>
      </w:r>
      <w:r w:rsidR="0073524B" w:rsidRPr="000142AB">
        <w:rPr>
          <w:lang w:val="fr-FR"/>
        </w:rPr>
        <w:t>exigence de l</w:t>
      </w:r>
      <w:r w:rsidR="000142AB" w:rsidRPr="000142AB">
        <w:rPr>
          <w:lang w:val="fr-FR"/>
        </w:rPr>
        <w:t>’</w:t>
      </w:r>
      <w:r w:rsidR="0073524B" w:rsidRPr="000142AB">
        <w:rPr>
          <w:lang w:val="fr-FR"/>
        </w:rPr>
        <w:t>article 35 § 1 de la Convention</w:t>
      </w:r>
      <w:r w:rsidR="00DA301E" w:rsidRPr="000142AB">
        <w:rPr>
          <w:lang w:val="fr-FR"/>
        </w:rPr>
        <w:t xml:space="preserve"> (voir, </w:t>
      </w:r>
      <w:r w:rsidR="00DA301E" w:rsidRPr="000142AB">
        <w:rPr>
          <w:i/>
          <w:lang w:val="fr-FR"/>
        </w:rPr>
        <w:t>mutatis mutandis, Matheus c. France</w:t>
      </w:r>
      <w:r w:rsidR="00DA301E" w:rsidRPr="000142AB">
        <w:rPr>
          <w:lang w:val="fr-FR"/>
        </w:rPr>
        <w:t xml:space="preserve"> (déc.) n</w:t>
      </w:r>
      <w:r w:rsidR="0075652F" w:rsidRPr="000142AB">
        <w:rPr>
          <w:vertAlign w:val="superscript"/>
          <w:lang w:val="fr-FR"/>
        </w:rPr>
        <w:t>o</w:t>
      </w:r>
      <w:r w:rsidRPr="000142AB">
        <w:rPr>
          <w:lang w:val="fr-FR"/>
        </w:rPr>
        <w:t> </w:t>
      </w:r>
      <w:r w:rsidR="00DA301E" w:rsidRPr="000142AB">
        <w:rPr>
          <w:lang w:val="fr-FR"/>
        </w:rPr>
        <w:t>62740/00, 18 mai 2004</w:t>
      </w:r>
      <w:r w:rsidR="003D434E" w:rsidRPr="000142AB">
        <w:rPr>
          <w:lang w:val="fr-FR"/>
        </w:rPr>
        <w:t>,</w:t>
      </w:r>
      <w:r w:rsidRPr="000142AB">
        <w:rPr>
          <w:lang w:val="fr-FR"/>
        </w:rPr>
        <w:t xml:space="preserve"> et </w:t>
      </w:r>
      <w:r w:rsidRPr="000142AB">
        <w:rPr>
          <w:i/>
          <w:lang w:val="fr-FR"/>
        </w:rPr>
        <w:t>Barret et Sirjean c. France</w:t>
      </w:r>
      <w:r w:rsidRPr="000142AB">
        <w:rPr>
          <w:lang w:val="fr-FR"/>
        </w:rPr>
        <w:t xml:space="preserve"> (déc.),</w:t>
      </w:r>
      <w:r w:rsidR="0075652F" w:rsidRPr="000142AB">
        <w:rPr>
          <w:lang w:val="fr-FR"/>
        </w:rPr>
        <w:t xml:space="preserve"> </w:t>
      </w:r>
      <w:r w:rsidRPr="000142AB">
        <w:rPr>
          <w:lang w:val="fr-FR"/>
        </w:rPr>
        <w:t>n</w:t>
      </w:r>
      <w:r w:rsidRPr="000142AB">
        <w:rPr>
          <w:vertAlign w:val="superscript"/>
          <w:lang w:val="fr-FR"/>
        </w:rPr>
        <w:t>o</w:t>
      </w:r>
      <w:r w:rsidRPr="000142AB">
        <w:rPr>
          <w:lang w:val="fr-FR"/>
        </w:rPr>
        <w:t> 13829/03</w:t>
      </w:r>
      <w:r w:rsidRPr="000142AB">
        <w:rPr>
          <w:snapToGrid w:val="0"/>
          <w:lang w:val="fr-FR"/>
        </w:rPr>
        <w:t>,</w:t>
      </w:r>
      <w:r w:rsidRPr="000142AB">
        <w:rPr>
          <w:lang w:val="fr-FR"/>
        </w:rPr>
        <w:t xml:space="preserve"> 3</w:t>
      </w:r>
      <w:r w:rsidR="00EB0AB4" w:rsidRPr="000142AB">
        <w:rPr>
          <w:lang w:val="fr-FR"/>
        </w:rPr>
        <w:t> </w:t>
      </w:r>
      <w:r w:rsidRPr="000142AB">
        <w:rPr>
          <w:lang w:val="fr-FR"/>
        </w:rPr>
        <w:t>juillet</w:t>
      </w:r>
      <w:r w:rsidR="000142AB" w:rsidRPr="000142AB">
        <w:rPr>
          <w:lang w:val="fr-FR"/>
        </w:rPr>
        <w:t xml:space="preserve"> </w:t>
      </w:r>
      <w:r w:rsidRPr="000142AB">
        <w:rPr>
          <w:lang w:val="fr-FR"/>
        </w:rPr>
        <w:t>2007</w:t>
      </w:r>
      <w:r w:rsidR="0020759D" w:rsidRPr="000142AB">
        <w:rPr>
          <w:lang w:val="fr-FR"/>
        </w:rPr>
        <w:t>)</w:t>
      </w:r>
      <w:r w:rsidR="00DA301E" w:rsidRPr="000142AB">
        <w:rPr>
          <w:lang w:val="fr-FR"/>
        </w:rPr>
        <w:t>.</w:t>
      </w:r>
    </w:p>
    <w:p w:rsidR="00C30553" w:rsidRPr="000142AB" w:rsidRDefault="00AD5D44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36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89404F" w:rsidRPr="000142AB">
        <w:rPr>
          <w:lang w:val="fr-FR"/>
        </w:rPr>
        <w:t>Pour c</w:t>
      </w:r>
      <w:r w:rsidR="00F23B2E" w:rsidRPr="000142AB">
        <w:rPr>
          <w:lang w:val="fr-FR"/>
        </w:rPr>
        <w:t xml:space="preserve">es mêmes raisons, </w:t>
      </w:r>
      <w:r w:rsidR="00736FA1" w:rsidRPr="000142AB">
        <w:rPr>
          <w:lang w:val="fr-FR"/>
        </w:rPr>
        <w:t>la Cour considère qu</w:t>
      </w:r>
      <w:r w:rsidR="000142AB" w:rsidRPr="000142AB">
        <w:rPr>
          <w:lang w:val="fr-FR"/>
        </w:rPr>
        <w:t>’</w:t>
      </w:r>
      <w:r w:rsidR="00F23B2E" w:rsidRPr="000142AB">
        <w:rPr>
          <w:lang w:val="fr-FR"/>
        </w:rPr>
        <w:t xml:space="preserve">on ne saurait reprocher à la requérante de ne pas avoir saisi plus tôt le tribunal administratif </w:t>
      </w:r>
      <w:r w:rsidR="003D434E" w:rsidRPr="000142AB">
        <w:rPr>
          <w:lang w:val="fr-FR"/>
        </w:rPr>
        <w:t>pour</w:t>
      </w:r>
      <w:r w:rsidR="00F23B2E" w:rsidRPr="000142AB">
        <w:rPr>
          <w:lang w:val="fr-FR"/>
        </w:rPr>
        <w:t xml:space="preserve"> se plaindre de l</w:t>
      </w:r>
      <w:r w:rsidR="000142AB" w:rsidRPr="000142AB">
        <w:rPr>
          <w:lang w:val="fr-FR"/>
        </w:rPr>
        <w:t>’</w:t>
      </w:r>
      <w:r w:rsidR="00F23B2E" w:rsidRPr="000142AB">
        <w:rPr>
          <w:lang w:val="fr-FR"/>
        </w:rPr>
        <w:t xml:space="preserve">inaction des autorités </w:t>
      </w:r>
      <w:r w:rsidR="004A37E2" w:rsidRPr="000142AB">
        <w:rPr>
          <w:lang w:val="fr-FR"/>
        </w:rPr>
        <w:t>vis-à-vis de l</w:t>
      </w:r>
      <w:r w:rsidR="000142AB" w:rsidRPr="000142AB">
        <w:rPr>
          <w:lang w:val="fr-FR"/>
        </w:rPr>
        <w:t>’</w:t>
      </w:r>
      <w:r w:rsidR="004A37E2" w:rsidRPr="000142AB">
        <w:rPr>
          <w:lang w:val="fr-FR"/>
        </w:rPr>
        <w:t>ordre du juge des investigations préliminaires</w:t>
      </w:r>
      <w:r w:rsidR="0089404F" w:rsidRPr="000142AB">
        <w:rPr>
          <w:lang w:val="fr-FR"/>
        </w:rPr>
        <w:t xml:space="preserve">. </w:t>
      </w:r>
      <w:r w:rsidR="001212EC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1212EC" w:rsidRPr="000142AB">
        <w:rPr>
          <w:lang w:val="fr-FR"/>
        </w:rPr>
        <w:t xml:space="preserve">autant plus que </w:t>
      </w:r>
      <w:r w:rsidR="009B486C" w:rsidRPr="000142AB">
        <w:rPr>
          <w:lang w:val="fr-FR"/>
        </w:rPr>
        <w:t>ce dernier</w:t>
      </w:r>
      <w:r w:rsidR="001212EC" w:rsidRPr="000142AB">
        <w:rPr>
          <w:lang w:val="fr-FR"/>
        </w:rPr>
        <w:t xml:space="preserve"> remède, engagé par la requérante le </w:t>
      </w:r>
      <w:r w:rsidR="0089404F" w:rsidRPr="000142AB">
        <w:rPr>
          <w:lang w:val="fr-FR"/>
        </w:rPr>
        <w:t>25 </w:t>
      </w:r>
      <w:r w:rsidR="002B38E3" w:rsidRPr="000142AB">
        <w:rPr>
          <w:lang w:val="fr-FR"/>
        </w:rPr>
        <w:t>mai 2015</w:t>
      </w:r>
      <w:r w:rsidR="001212EC" w:rsidRPr="000142AB">
        <w:rPr>
          <w:lang w:val="fr-FR"/>
        </w:rPr>
        <w:t xml:space="preserve">, </w:t>
      </w:r>
      <w:r w:rsidR="00002763" w:rsidRPr="000142AB">
        <w:rPr>
          <w:lang w:val="fr-FR"/>
        </w:rPr>
        <w:t xml:space="preserve">a été </w:t>
      </w:r>
      <w:r w:rsidR="006030E2" w:rsidRPr="000142AB">
        <w:rPr>
          <w:lang w:val="fr-FR"/>
        </w:rPr>
        <w:t>en l</w:t>
      </w:r>
      <w:r w:rsidR="000142AB" w:rsidRPr="000142AB">
        <w:rPr>
          <w:lang w:val="fr-FR"/>
        </w:rPr>
        <w:t>’</w:t>
      </w:r>
      <w:r w:rsidR="006030E2" w:rsidRPr="000142AB">
        <w:rPr>
          <w:lang w:val="fr-FR"/>
        </w:rPr>
        <w:t xml:space="preserve">occurrence </w:t>
      </w:r>
      <w:r w:rsidR="00002763" w:rsidRPr="000142AB">
        <w:rPr>
          <w:lang w:val="fr-FR"/>
        </w:rPr>
        <w:t>dépourvu de toute eff</w:t>
      </w:r>
      <w:r w:rsidR="00185F44" w:rsidRPr="000142AB">
        <w:rPr>
          <w:lang w:val="fr-FR"/>
        </w:rPr>
        <w:t>ectivit</w:t>
      </w:r>
      <w:r w:rsidR="00002763" w:rsidRPr="000142AB">
        <w:rPr>
          <w:lang w:val="fr-FR"/>
        </w:rPr>
        <w:t>é</w:t>
      </w:r>
      <w:r w:rsidR="001212EC" w:rsidRPr="000142AB">
        <w:rPr>
          <w:lang w:val="fr-FR"/>
        </w:rPr>
        <w:t xml:space="preserve"> </w:t>
      </w:r>
      <w:r w:rsidR="002B38E3" w:rsidRPr="000142AB">
        <w:rPr>
          <w:lang w:val="fr-FR"/>
        </w:rPr>
        <w:t>dans la mesure où le tribunal administratif n</w:t>
      </w:r>
      <w:r w:rsidR="000142AB" w:rsidRPr="000142AB">
        <w:rPr>
          <w:lang w:val="fr-FR"/>
        </w:rPr>
        <w:t>’</w:t>
      </w:r>
      <w:r w:rsidR="0085072B" w:rsidRPr="000142AB">
        <w:rPr>
          <w:lang w:val="fr-FR"/>
        </w:rPr>
        <w:t xml:space="preserve">y </w:t>
      </w:r>
      <w:r w:rsidR="002B38E3" w:rsidRPr="000142AB">
        <w:rPr>
          <w:lang w:val="fr-FR"/>
        </w:rPr>
        <w:t xml:space="preserve">a pas donné suite </w:t>
      </w:r>
      <w:r w:rsidR="00D7588D" w:rsidRPr="000142AB">
        <w:rPr>
          <w:lang w:val="fr-FR"/>
        </w:rPr>
        <w:t xml:space="preserve">et </w:t>
      </w:r>
      <w:r w:rsidR="003D434E" w:rsidRPr="000142AB">
        <w:rPr>
          <w:lang w:val="fr-FR"/>
        </w:rPr>
        <w:t xml:space="preserve">où </w:t>
      </w:r>
      <w:r w:rsidR="00FD0BA7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FD0BA7" w:rsidRPr="000142AB">
        <w:rPr>
          <w:lang w:val="fr-FR"/>
        </w:rPr>
        <w:t>intéressée</w:t>
      </w:r>
      <w:r w:rsidR="00D7588D" w:rsidRPr="000142AB">
        <w:rPr>
          <w:lang w:val="fr-FR"/>
        </w:rPr>
        <w:t xml:space="preserve"> </w:t>
      </w:r>
      <w:r w:rsidR="00BA31FB" w:rsidRPr="000142AB">
        <w:rPr>
          <w:lang w:val="fr-FR"/>
        </w:rPr>
        <w:t>n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a</w:t>
      </w:r>
      <w:r w:rsidR="002B38E3" w:rsidRPr="000142AB">
        <w:rPr>
          <w:lang w:val="fr-FR"/>
        </w:rPr>
        <w:t xml:space="preserve"> toujours</w:t>
      </w:r>
      <w:r w:rsidR="00BA31FB" w:rsidRPr="000142AB">
        <w:rPr>
          <w:lang w:val="fr-FR"/>
        </w:rPr>
        <w:t xml:space="preserve"> pas recouvr</w:t>
      </w:r>
      <w:r w:rsidR="00185F44" w:rsidRPr="000142AB">
        <w:rPr>
          <w:lang w:val="fr-FR"/>
        </w:rPr>
        <w:t>é</w:t>
      </w:r>
      <w:r w:rsidR="00BA31FB" w:rsidRPr="000142AB">
        <w:rPr>
          <w:lang w:val="fr-FR"/>
        </w:rPr>
        <w:t xml:space="preserve"> la jouissance de son droit de propriété</w:t>
      </w:r>
      <w:r w:rsidR="002B38E3" w:rsidRPr="000142AB">
        <w:rPr>
          <w:lang w:val="fr-FR"/>
        </w:rPr>
        <w:t>.</w:t>
      </w:r>
      <w:r w:rsidR="00153B7E" w:rsidRPr="000142AB">
        <w:rPr>
          <w:lang w:val="fr-FR"/>
        </w:rPr>
        <w:t xml:space="preserve"> La Cour rappelle que, selon sa jurisprudence, un recours doit exister avec un degré suffisant de certitude, en pratique comme en théorie, sans quoi lui manquent l</w:t>
      </w:r>
      <w:r w:rsidR="000142AB" w:rsidRPr="000142AB">
        <w:rPr>
          <w:lang w:val="fr-FR"/>
        </w:rPr>
        <w:t>’</w:t>
      </w:r>
      <w:r w:rsidR="00153B7E" w:rsidRPr="000142AB">
        <w:rPr>
          <w:lang w:val="fr-FR"/>
        </w:rPr>
        <w:t xml:space="preserve">accessibilité et </w:t>
      </w:r>
      <w:r w:rsidR="00185F44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185F44" w:rsidRPr="000142AB">
        <w:rPr>
          <w:lang w:val="fr-FR"/>
        </w:rPr>
        <w:t xml:space="preserve">effectivité </w:t>
      </w:r>
      <w:r w:rsidR="00153B7E" w:rsidRPr="000142AB">
        <w:rPr>
          <w:lang w:val="fr-FR"/>
        </w:rPr>
        <w:t>requises par la Convention (</w:t>
      </w:r>
      <w:r w:rsidR="00153B7E" w:rsidRPr="000142AB">
        <w:rPr>
          <w:i/>
          <w:lang w:val="fr-FR"/>
        </w:rPr>
        <w:t>Sakık et autres c. Turquie</w:t>
      </w:r>
      <w:r w:rsidR="00153B7E" w:rsidRPr="000142AB">
        <w:rPr>
          <w:lang w:val="fr-FR"/>
        </w:rPr>
        <w:t xml:space="preserve">, 26 novembre 1997, § 53, </w:t>
      </w:r>
      <w:r w:rsidR="00153B7E" w:rsidRPr="000142AB">
        <w:rPr>
          <w:i/>
          <w:lang w:val="fr-FR"/>
        </w:rPr>
        <w:t>Recueil des arrêts et décisions</w:t>
      </w:r>
      <w:r w:rsidR="00153B7E" w:rsidRPr="000142AB">
        <w:rPr>
          <w:lang w:val="fr-FR"/>
        </w:rPr>
        <w:t xml:space="preserve"> 1997</w:t>
      </w:r>
      <w:r w:rsidR="00153B7E" w:rsidRPr="000142AB">
        <w:rPr>
          <w:lang w:val="fr-FR"/>
        </w:rPr>
        <w:noBreakHyphen/>
        <w:t xml:space="preserve">VII, </w:t>
      </w:r>
      <w:r w:rsidR="00153B7E" w:rsidRPr="000142AB">
        <w:rPr>
          <w:i/>
          <w:lang w:val="fr-FR"/>
        </w:rPr>
        <w:t>Vernillo c. France</w:t>
      </w:r>
      <w:r w:rsidR="00153B7E" w:rsidRPr="000142AB">
        <w:rPr>
          <w:lang w:val="fr-FR"/>
        </w:rPr>
        <w:t>, 20 février 1991, §</w:t>
      </w:r>
      <w:r w:rsidR="00EB0AB4" w:rsidRPr="000142AB">
        <w:rPr>
          <w:lang w:val="fr-FR"/>
        </w:rPr>
        <w:t> </w:t>
      </w:r>
      <w:r w:rsidR="00153B7E" w:rsidRPr="000142AB">
        <w:rPr>
          <w:lang w:val="fr-FR"/>
        </w:rPr>
        <w:t>27, série A n</w:t>
      </w:r>
      <w:r w:rsidR="0075652F" w:rsidRPr="000142AB">
        <w:rPr>
          <w:vertAlign w:val="superscript"/>
          <w:lang w:val="fr-FR"/>
        </w:rPr>
        <w:t>o</w:t>
      </w:r>
      <w:r w:rsidR="00153B7E" w:rsidRPr="000142AB">
        <w:rPr>
          <w:lang w:val="fr-FR"/>
        </w:rPr>
        <w:t xml:space="preserve"> 198, </w:t>
      </w:r>
      <w:r w:rsidR="00153B7E" w:rsidRPr="000142AB">
        <w:rPr>
          <w:i/>
          <w:lang w:val="fr-FR"/>
        </w:rPr>
        <w:t>Johnston et autres c. Irlande</w:t>
      </w:r>
      <w:r w:rsidR="004B60C8" w:rsidRPr="000142AB">
        <w:rPr>
          <w:lang w:val="fr-FR"/>
        </w:rPr>
        <w:t>, 18 décembre 1986, § 45, série </w:t>
      </w:r>
      <w:r w:rsidR="00153B7E" w:rsidRPr="000142AB">
        <w:rPr>
          <w:lang w:val="fr-FR"/>
        </w:rPr>
        <w:t>A n</w:t>
      </w:r>
      <w:r w:rsidR="0075652F" w:rsidRPr="000142AB">
        <w:rPr>
          <w:vertAlign w:val="superscript"/>
          <w:lang w:val="fr-FR"/>
        </w:rPr>
        <w:t>o</w:t>
      </w:r>
      <w:r w:rsidR="00153B7E" w:rsidRPr="000142AB">
        <w:rPr>
          <w:lang w:val="fr-FR"/>
        </w:rPr>
        <w:t xml:space="preserve"> 112</w:t>
      </w:r>
      <w:r w:rsidR="001272AB" w:rsidRPr="000142AB">
        <w:rPr>
          <w:lang w:val="fr-FR"/>
        </w:rPr>
        <w:t>, et</w:t>
      </w:r>
      <w:r w:rsidR="0089404F" w:rsidRPr="000142AB">
        <w:rPr>
          <w:lang w:val="fr-FR"/>
        </w:rPr>
        <w:t xml:space="preserve"> </w:t>
      </w:r>
      <w:r w:rsidR="0089404F" w:rsidRPr="000142AB">
        <w:rPr>
          <w:i/>
          <w:lang w:val="it-IT"/>
        </w:rPr>
        <w:t>Veysel Şahin c. Turquie</w:t>
      </w:r>
      <w:r w:rsidR="0089404F" w:rsidRPr="000142AB">
        <w:rPr>
          <w:lang w:val="it-IT"/>
        </w:rPr>
        <w:t>, n</w:t>
      </w:r>
      <w:r w:rsidR="0089404F" w:rsidRPr="000142AB">
        <w:rPr>
          <w:vertAlign w:val="superscript"/>
          <w:lang w:val="it-IT"/>
        </w:rPr>
        <w:t>o</w:t>
      </w:r>
      <w:r w:rsidR="0089404F" w:rsidRPr="000142AB">
        <w:rPr>
          <w:lang w:val="it-IT"/>
        </w:rPr>
        <w:t xml:space="preserve"> 4631/05</w:t>
      </w:r>
      <w:r w:rsidR="00EB0AB4" w:rsidRPr="000142AB">
        <w:rPr>
          <w:snapToGrid w:val="0"/>
          <w:szCs w:val="24"/>
          <w:lang w:val="it-IT"/>
        </w:rPr>
        <w:t>, § 21, 27 </w:t>
      </w:r>
      <w:r w:rsidR="0089404F" w:rsidRPr="000142AB">
        <w:rPr>
          <w:szCs w:val="24"/>
          <w:lang w:val="it-IT"/>
        </w:rPr>
        <w:t>septembre</w:t>
      </w:r>
      <w:r w:rsidR="000142AB" w:rsidRPr="000142AB">
        <w:rPr>
          <w:snapToGrid w:val="0"/>
          <w:szCs w:val="24"/>
          <w:lang w:val="it-IT"/>
        </w:rPr>
        <w:t xml:space="preserve"> </w:t>
      </w:r>
      <w:r w:rsidR="0089404F" w:rsidRPr="000142AB">
        <w:rPr>
          <w:snapToGrid w:val="0"/>
          <w:szCs w:val="24"/>
          <w:lang w:val="it-IT"/>
        </w:rPr>
        <w:t>2011</w:t>
      </w:r>
      <w:r w:rsidR="00153B7E" w:rsidRPr="000142AB">
        <w:rPr>
          <w:lang w:val="fr-FR"/>
        </w:rPr>
        <w:t>).</w:t>
      </w:r>
    </w:p>
    <w:p w:rsidR="00975060" w:rsidRPr="000142AB" w:rsidRDefault="00975060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37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624283" w:rsidRPr="000142AB">
        <w:rPr>
          <w:lang w:val="fr-FR"/>
        </w:rPr>
        <w:t>Enfin</w:t>
      </w:r>
      <w:r w:rsidRPr="000142AB">
        <w:rPr>
          <w:lang w:val="fr-FR"/>
        </w:rPr>
        <w:t>, quant aux dispositions du décret n</w:t>
      </w:r>
      <w:r w:rsidR="0075652F" w:rsidRPr="000142AB">
        <w:rPr>
          <w:vertAlign w:val="superscript"/>
          <w:lang w:val="fr-FR"/>
        </w:rPr>
        <w:t>o</w:t>
      </w:r>
      <w:r w:rsidRPr="000142AB">
        <w:rPr>
          <w:lang w:val="fr-FR"/>
        </w:rPr>
        <w:t xml:space="preserve"> 14 de 2017</w:t>
      </w:r>
      <w:r w:rsidR="00624283" w:rsidRPr="000142AB">
        <w:rPr>
          <w:lang w:val="fr-FR"/>
        </w:rPr>
        <w:t xml:space="preserve"> auxquelles le Gouvernement </w:t>
      </w:r>
      <w:r w:rsidR="00F464FC" w:rsidRPr="000142AB">
        <w:rPr>
          <w:lang w:val="fr-FR"/>
        </w:rPr>
        <w:t>fait référence</w:t>
      </w:r>
      <w:r w:rsidR="00624283" w:rsidRPr="000142AB">
        <w:rPr>
          <w:lang w:val="fr-FR"/>
        </w:rPr>
        <w:t xml:space="preserve"> </w:t>
      </w:r>
      <w:r w:rsidR="00C95C7F" w:rsidRPr="000142AB">
        <w:rPr>
          <w:lang w:val="fr-FR"/>
        </w:rPr>
        <w:t>d</w:t>
      </w:r>
      <w:r w:rsidR="00624283" w:rsidRPr="000142AB">
        <w:rPr>
          <w:lang w:val="fr-FR"/>
        </w:rPr>
        <w:t>ans ses observations, celui-ci</w:t>
      </w:r>
      <w:r w:rsidR="007C48DE" w:rsidRPr="000142AB">
        <w:rPr>
          <w:lang w:val="fr-FR"/>
        </w:rPr>
        <w:t xml:space="preserve"> n</w:t>
      </w:r>
      <w:r w:rsidR="000142AB" w:rsidRPr="000142AB">
        <w:rPr>
          <w:lang w:val="fr-FR"/>
        </w:rPr>
        <w:t>’</w:t>
      </w:r>
      <w:r w:rsidR="007C48DE" w:rsidRPr="000142AB">
        <w:rPr>
          <w:lang w:val="fr-FR"/>
        </w:rPr>
        <w:t xml:space="preserve">a pas indiqué </w:t>
      </w:r>
      <w:r w:rsidR="00A032DC" w:rsidRPr="000142AB">
        <w:rPr>
          <w:lang w:val="fr-FR"/>
        </w:rPr>
        <w:t>dans quelle mesure</w:t>
      </w:r>
      <w:r w:rsidR="007C48DE" w:rsidRPr="000142AB">
        <w:rPr>
          <w:lang w:val="fr-FR"/>
        </w:rPr>
        <w:t xml:space="preserve"> elles offriraient</w:t>
      </w:r>
      <w:r w:rsidR="00CA025D" w:rsidRPr="000142AB">
        <w:rPr>
          <w:lang w:val="fr-FR"/>
        </w:rPr>
        <w:t xml:space="preserve"> à</w:t>
      </w:r>
      <w:r w:rsidR="007C48DE" w:rsidRPr="000142AB">
        <w:rPr>
          <w:lang w:val="fr-FR"/>
        </w:rPr>
        <w:t xml:space="preserve"> </w:t>
      </w:r>
      <w:r w:rsidR="00CA025D" w:rsidRPr="000142AB">
        <w:rPr>
          <w:lang w:val="fr-FR"/>
        </w:rPr>
        <w:t xml:space="preserve">la requérante </w:t>
      </w:r>
      <w:r w:rsidR="007C48DE" w:rsidRPr="000142AB">
        <w:rPr>
          <w:lang w:val="fr-FR"/>
        </w:rPr>
        <w:t xml:space="preserve">une protection effective et concrète </w:t>
      </w:r>
      <w:r w:rsidR="00CA025D" w:rsidRPr="000142AB">
        <w:rPr>
          <w:lang w:val="fr-FR"/>
        </w:rPr>
        <w:t>de ses droits conventionnels</w:t>
      </w:r>
      <w:r w:rsidR="007C48DE" w:rsidRPr="000142AB">
        <w:rPr>
          <w:lang w:val="fr-FR"/>
        </w:rPr>
        <w:t>.</w:t>
      </w:r>
    </w:p>
    <w:p w:rsidR="008E6674" w:rsidRPr="000142AB" w:rsidRDefault="00F95426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38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Partant,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exception du Gouvernement concernant le non-épuisement des voi</w:t>
      </w:r>
      <w:r w:rsidR="00185F44" w:rsidRPr="000142AB">
        <w:rPr>
          <w:lang w:val="fr-FR"/>
        </w:rPr>
        <w:t>es</w:t>
      </w:r>
      <w:r w:rsidRPr="000142AB">
        <w:rPr>
          <w:lang w:val="fr-FR"/>
        </w:rPr>
        <w:t xml:space="preserve"> de recours internes ne saurait être retenue.</w:t>
      </w:r>
    </w:p>
    <w:p w:rsidR="00553E3F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39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Pr="000142AB">
        <w:rPr>
          <w:lang w:val="fr-FR"/>
        </w:rPr>
        <w:t xml:space="preserve">Constatant que </w:t>
      </w:r>
      <w:r w:rsidR="007D0613" w:rsidRPr="000142AB">
        <w:rPr>
          <w:lang w:val="fr-FR"/>
        </w:rPr>
        <w:t>la</w:t>
      </w:r>
      <w:r w:rsidRPr="000142AB">
        <w:rPr>
          <w:lang w:val="fr-FR"/>
        </w:rPr>
        <w:t xml:space="preserve"> requête n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est pas manifestement mal fondée au sens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35 § 3 a) de la Convention et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elle ne se heurte par ailleurs à aucun autre motif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irrecevabilité, la Cour la déclare recevable</w:t>
      </w:r>
      <w:r w:rsidR="001272AB" w:rsidRPr="000142AB">
        <w:rPr>
          <w:lang w:val="fr-FR"/>
        </w:rPr>
        <w:t>.</w:t>
      </w:r>
    </w:p>
    <w:p w:rsidR="00E77CB3" w:rsidRPr="000142AB" w:rsidRDefault="00E77CB3" w:rsidP="000142AB">
      <w:pPr>
        <w:pStyle w:val="ECHRHeading2"/>
        <w:rPr>
          <w:lang w:val="fr-FR"/>
        </w:rPr>
      </w:pPr>
      <w:r w:rsidRPr="000142AB">
        <w:rPr>
          <w:lang w:val="fr-FR"/>
        </w:rPr>
        <w:t>B.  Sur le fond</w:t>
      </w:r>
    </w:p>
    <w:p w:rsidR="00800652" w:rsidRPr="000142AB" w:rsidRDefault="00800652" w:rsidP="000142AB">
      <w:pPr>
        <w:pStyle w:val="ECHRHeading3"/>
        <w:rPr>
          <w:lang w:val="fr-FR"/>
        </w:rPr>
      </w:pPr>
      <w:r w:rsidRPr="000142AB">
        <w:rPr>
          <w:lang w:val="fr-FR"/>
        </w:rPr>
        <w:t>1.  Arguments des parties</w:t>
      </w:r>
    </w:p>
    <w:p w:rsidR="008A0E06" w:rsidRPr="000142AB" w:rsidRDefault="003D27F8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40</w:t>
      </w:r>
      <w:r w:rsidRPr="000142AB">
        <w:rPr>
          <w:lang w:val="fr-FR"/>
        </w:rPr>
        <w:fldChar w:fldCharType="end"/>
      </w:r>
      <w:r w:rsidR="00F44195" w:rsidRPr="000142AB">
        <w:rPr>
          <w:lang w:val="fr-FR"/>
        </w:rPr>
        <w:t>.  La requérante</w:t>
      </w:r>
      <w:r w:rsidR="00B803F7" w:rsidRPr="000142AB">
        <w:rPr>
          <w:lang w:val="fr-FR"/>
        </w:rPr>
        <w:t xml:space="preserve"> </w:t>
      </w:r>
      <w:r w:rsidR="00716798" w:rsidRPr="000142AB">
        <w:rPr>
          <w:lang w:val="fr-FR"/>
        </w:rPr>
        <w:t>dénonce</w:t>
      </w:r>
      <w:r w:rsidR="000104DF" w:rsidRPr="000142AB">
        <w:rPr>
          <w:lang w:val="fr-FR"/>
        </w:rPr>
        <w:t xml:space="preserve"> </w:t>
      </w:r>
      <w:r w:rsidR="00716798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716798" w:rsidRPr="000142AB">
        <w:rPr>
          <w:lang w:val="fr-FR"/>
        </w:rPr>
        <w:t>inaction des autorités vis-à-vis</w:t>
      </w:r>
      <w:r w:rsidR="00566132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566132" w:rsidRPr="000142AB">
        <w:rPr>
          <w:lang w:val="fr-FR"/>
        </w:rPr>
        <w:t>occupation abusive</w:t>
      </w:r>
      <w:r w:rsidR="00716798" w:rsidRPr="000142AB">
        <w:rPr>
          <w:lang w:val="fr-FR"/>
        </w:rPr>
        <w:t xml:space="preserve"> de son </w:t>
      </w:r>
      <w:r w:rsidR="008A0E06" w:rsidRPr="000142AB">
        <w:rPr>
          <w:lang w:val="fr-FR"/>
        </w:rPr>
        <w:t>immeuble malgré l</w:t>
      </w:r>
      <w:r w:rsidR="000142AB" w:rsidRPr="000142AB">
        <w:rPr>
          <w:lang w:val="fr-FR"/>
        </w:rPr>
        <w:t>’</w:t>
      </w:r>
      <w:r w:rsidR="008A0E06" w:rsidRPr="000142AB">
        <w:rPr>
          <w:lang w:val="fr-FR"/>
        </w:rPr>
        <w:t xml:space="preserve">ordre </w:t>
      </w:r>
      <w:r w:rsidR="005A7B3D" w:rsidRPr="000142AB">
        <w:rPr>
          <w:lang w:val="fr-FR"/>
        </w:rPr>
        <w:t xml:space="preserve">donné en sa faveur par le </w:t>
      </w:r>
      <w:r w:rsidR="008A0E06" w:rsidRPr="000142AB">
        <w:rPr>
          <w:lang w:val="fr-FR"/>
        </w:rPr>
        <w:t>juge des investigations pré</w:t>
      </w:r>
      <w:r w:rsidR="00566132" w:rsidRPr="000142AB">
        <w:rPr>
          <w:lang w:val="fr-FR"/>
        </w:rPr>
        <w:t xml:space="preserve">liminaires. </w:t>
      </w:r>
      <w:r w:rsidR="008A0E06" w:rsidRPr="000142AB">
        <w:rPr>
          <w:lang w:val="fr-FR"/>
        </w:rPr>
        <w:t xml:space="preserve">Elle </w:t>
      </w:r>
      <w:r w:rsidR="00913D57" w:rsidRPr="000142AB">
        <w:rPr>
          <w:lang w:val="fr-FR"/>
        </w:rPr>
        <w:t xml:space="preserve">indique </w:t>
      </w:r>
      <w:r w:rsidR="008A0E06" w:rsidRPr="000142AB">
        <w:rPr>
          <w:lang w:val="fr-FR"/>
        </w:rPr>
        <w:t>que la situation perdure</w:t>
      </w:r>
      <w:r w:rsidR="00716798" w:rsidRPr="000142AB">
        <w:rPr>
          <w:lang w:val="fr-FR"/>
        </w:rPr>
        <w:t xml:space="preserve"> malgré les nombreuses sollicitations et démarches </w:t>
      </w:r>
      <w:r w:rsidR="00185F44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185F44" w:rsidRPr="000142AB">
        <w:rPr>
          <w:lang w:val="fr-FR"/>
        </w:rPr>
        <w:t xml:space="preserve">elle aurait </w:t>
      </w:r>
      <w:r w:rsidR="00716798" w:rsidRPr="000142AB">
        <w:rPr>
          <w:lang w:val="fr-FR"/>
        </w:rPr>
        <w:t>entrepr</w:t>
      </w:r>
      <w:r w:rsidR="008A0E06" w:rsidRPr="000142AB">
        <w:rPr>
          <w:lang w:val="fr-FR"/>
        </w:rPr>
        <w:t>ises pour obtenir l</w:t>
      </w:r>
      <w:r w:rsidR="000142AB" w:rsidRPr="000142AB">
        <w:rPr>
          <w:lang w:val="fr-FR"/>
        </w:rPr>
        <w:t>’</w:t>
      </w:r>
      <w:r w:rsidR="008A0E06" w:rsidRPr="000142AB">
        <w:rPr>
          <w:lang w:val="fr-FR"/>
        </w:rPr>
        <w:t xml:space="preserve">exécution dudit ordre et </w:t>
      </w:r>
      <w:r w:rsidR="00185F44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185F44" w:rsidRPr="000142AB">
        <w:rPr>
          <w:lang w:val="fr-FR"/>
        </w:rPr>
        <w:t>évacuation</w:t>
      </w:r>
      <w:r w:rsidR="008A0E06" w:rsidRPr="000142AB">
        <w:rPr>
          <w:lang w:val="fr-FR"/>
        </w:rPr>
        <w:t xml:space="preserve"> de son bien, ce qui prouve</w:t>
      </w:r>
      <w:r w:rsidR="00913D57" w:rsidRPr="000142AB">
        <w:rPr>
          <w:lang w:val="fr-FR"/>
        </w:rPr>
        <w:t xml:space="preserve"> à ses yeux</w:t>
      </w:r>
      <w:r w:rsidR="008A0E06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8A0E06" w:rsidRPr="000142AB">
        <w:rPr>
          <w:lang w:val="fr-FR"/>
        </w:rPr>
        <w:t xml:space="preserve">absence de </w:t>
      </w:r>
      <w:r w:rsidR="0050352E" w:rsidRPr="000142AB">
        <w:rPr>
          <w:lang w:val="fr-FR"/>
        </w:rPr>
        <w:t xml:space="preserve">protection </w:t>
      </w:r>
      <w:r w:rsidR="00566132" w:rsidRPr="000142AB">
        <w:rPr>
          <w:lang w:val="fr-FR"/>
        </w:rPr>
        <w:t>de ses</w:t>
      </w:r>
      <w:r w:rsidR="0050352E" w:rsidRPr="000142AB">
        <w:rPr>
          <w:lang w:val="fr-FR"/>
        </w:rPr>
        <w:t xml:space="preserve"> droit</w:t>
      </w:r>
      <w:r w:rsidR="00566132" w:rsidRPr="000142AB">
        <w:rPr>
          <w:lang w:val="fr-FR"/>
        </w:rPr>
        <w:t>s</w:t>
      </w:r>
      <w:r w:rsidR="0050352E" w:rsidRPr="000142AB">
        <w:rPr>
          <w:lang w:val="fr-FR"/>
        </w:rPr>
        <w:t xml:space="preserve"> </w:t>
      </w:r>
      <w:r w:rsidR="00566132" w:rsidRPr="000142AB">
        <w:rPr>
          <w:lang w:val="fr-FR"/>
        </w:rPr>
        <w:t>dans le système national</w:t>
      </w:r>
      <w:r w:rsidR="0050352E" w:rsidRPr="000142AB">
        <w:rPr>
          <w:lang w:val="fr-FR"/>
        </w:rPr>
        <w:t>.</w:t>
      </w:r>
    </w:p>
    <w:p w:rsidR="0075652F" w:rsidRPr="000142AB" w:rsidRDefault="009F15C5" w:rsidP="000142AB">
      <w:pPr>
        <w:pStyle w:val="ECHRPara"/>
        <w:rPr>
          <w:lang w:val="fr-FR"/>
        </w:rPr>
      </w:pPr>
      <w:r w:rsidRPr="000142AB">
        <w:rPr>
          <w:lang w:val="fr-FR"/>
        </w:rPr>
        <w:lastRenderedPageBreak/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41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566132" w:rsidRPr="000142AB">
        <w:rPr>
          <w:lang w:val="fr-FR"/>
        </w:rPr>
        <w:t>La requérante exp</w:t>
      </w:r>
      <w:r w:rsidR="00913D57" w:rsidRPr="000142AB">
        <w:rPr>
          <w:lang w:val="fr-FR"/>
        </w:rPr>
        <w:t>ose</w:t>
      </w:r>
      <w:r w:rsidR="00566132" w:rsidRPr="000142AB">
        <w:rPr>
          <w:lang w:val="fr-FR"/>
        </w:rPr>
        <w:t xml:space="preserve"> </w:t>
      </w:r>
      <w:r w:rsidR="00185F44" w:rsidRPr="000142AB">
        <w:rPr>
          <w:lang w:val="fr-FR"/>
        </w:rPr>
        <w:t xml:space="preserve">encore </w:t>
      </w:r>
      <w:r w:rsidR="00566132" w:rsidRPr="000142AB">
        <w:rPr>
          <w:lang w:val="fr-FR"/>
        </w:rPr>
        <w:t>que l</w:t>
      </w:r>
      <w:r w:rsidR="000142AB" w:rsidRPr="000142AB">
        <w:rPr>
          <w:lang w:val="fr-FR"/>
        </w:rPr>
        <w:t>’</w:t>
      </w:r>
      <w:r w:rsidR="00566132" w:rsidRPr="000142AB">
        <w:rPr>
          <w:lang w:val="fr-FR"/>
        </w:rPr>
        <w:t xml:space="preserve">occupation de son immeuble constitue un motif </w:t>
      </w:r>
      <w:r w:rsidR="00185F44" w:rsidRPr="000142AB">
        <w:rPr>
          <w:lang w:val="fr-FR"/>
        </w:rPr>
        <w:t xml:space="preserve">de fierté </w:t>
      </w:r>
      <w:r w:rsidR="004172C0" w:rsidRPr="000142AB">
        <w:rPr>
          <w:lang w:val="fr-FR"/>
        </w:rPr>
        <w:t>pour le</w:t>
      </w:r>
      <w:r w:rsidR="00566132" w:rsidRPr="000142AB">
        <w:rPr>
          <w:lang w:val="fr-FR"/>
        </w:rPr>
        <w:t xml:space="preserve"> </w:t>
      </w:r>
      <w:r w:rsidR="00641E8E" w:rsidRPr="000142AB">
        <w:rPr>
          <w:lang w:val="fr-FR"/>
        </w:rPr>
        <w:t>« </w:t>
      </w:r>
      <w:r w:rsidR="004172C0" w:rsidRPr="000142AB">
        <w:rPr>
          <w:lang w:val="fr-FR"/>
        </w:rPr>
        <w:t>mouvement pour le droit au logement</w:t>
      </w:r>
      <w:r w:rsidR="00641E8E" w:rsidRPr="000142AB">
        <w:rPr>
          <w:lang w:val="fr-FR"/>
        </w:rPr>
        <w:t> »</w:t>
      </w:r>
      <w:r w:rsidR="007F7873" w:rsidRPr="000142AB">
        <w:rPr>
          <w:lang w:val="fr-FR"/>
        </w:rPr>
        <w:t>,</w:t>
      </w:r>
      <w:r w:rsidR="004172C0" w:rsidRPr="000142AB">
        <w:rPr>
          <w:lang w:val="fr-FR"/>
        </w:rPr>
        <w:t xml:space="preserve"> qui organise</w:t>
      </w:r>
      <w:r w:rsidR="00913D57" w:rsidRPr="000142AB">
        <w:rPr>
          <w:lang w:val="fr-FR"/>
        </w:rPr>
        <w:t>rait</w:t>
      </w:r>
      <w:r w:rsidR="004172C0" w:rsidRPr="000142AB">
        <w:rPr>
          <w:lang w:val="fr-FR"/>
        </w:rPr>
        <w:t xml:space="preserve"> régulièrement</w:t>
      </w:r>
      <w:r w:rsidR="00F91ACE" w:rsidRPr="000142AB">
        <w:rPr>
          <w:lang w:val="fr-FR"/>
        </w:rPr>
        <w:t>, dans l</w:t>
      </w:r>
      <w:r w:rsidR="000142AB" w:rsidRPr="000142AB">
        <w:rPr>
          <w:lang w:val="fr-FR"/>
        </w:rPr>
        <w:t>’</w:t>
      </w:r>
      <w:r w:rsidR="00F91ACE" w:rsidRPr="000142AB">
        <w:rPr>
          <w:lang w:val="fr-FR"/>
        </w:rPr>
        <w:t>enceinte de sa propriété,</w:t>
      </w:r>
      <w:r w:rsidR="004172C0" w:rsidRPr="000142AB">
        <w:rPr>
          <w:lang w:val="fr-FR"/>
        </w:rPr>
        <w:t xml:space="preserve"> des </w:t>
      </w:r>
      <w:r w:rsidR="00EE4426" w:rsidRPr="000142AB">
        <w:rPr>
          <w:lang w:val="fr-FR"/>
        </w:rPr>
        <w:t xml:space="preserve">fêtes et des </w:t>
      </w:r>
      <w:r w:rsidR="004172C0" w:rsidRPr="000142AB">
        <w:rPr>
          <w:lang w:val="fr-FR"/>
        </w:rPr>
        <w:t>manifestation</w:t>
      </w:r>
      <w:r w:rsidR="00CF155C" w:rsidRPr="000142AB">
        <w:rPr>
          <w:lang w:val="fr-FR"/>
        </w:rPr>
        <w:t xml:space="preserve">s </w:t>
      </w:r>
      <w:r w:rsidR="00EE4426" w:rsidRPr="000142AB">
        <w:rPr>
          <w:lang w:val="fr-FR"/>
        </w:rPr>
        <w:t xml:space="preserve">publiques </w:t>
      </w:r>
      <w:r w:rsidR="00CF155C" w:rsidRPr="000142AB">
        <w:rPr>
          <w:lang w:val="fr-FR"/>
        </w:rPr>
        <w:t>en faveur de la</w:t>
      </w:r>
      <w:r w:rsidR="004172C0" w:rsidRPr="000142AB">
        <w:rPr>
          <w:lang w:val="fr-FR"/>
        </w:rPr>
        <w:t xml:space="preserve"> lutte pour le logement sans jamais être inquiété</w:t>
      </w:r>
      <w:r w:rsidR="00246E78" w:rsidRPr="000142AB">
        <w:rPr>
          <w:lang w:val="fr-FR"/>
        </w:rPr>
        <w:t xml:space="preserve"> par les autorités.</w:t>
      </w:r>
      <w:r w:rsidR="00641E8E" w:rsidRPr="000142AB">
        <w:rPr>
          <w:lang w:val="fr-FR"/>
        </w:rPr>
        <w:t xml:space="preserve"> </w:t>
      </w:r>
      <w:r w:rsidR="00913D57" w:rsidRPr="000142AB">
        <w:rPr>
          <w:lang w:val="fr-FR"/>
        </w:rPr>
        <w:t>Elle</w:t>
      </w:r>
      <w:r w:rsidR="00EE4426" w:rsidRPr="000142AB">
        <w:rPr>
          <w:lang w:val="fr-FR"/>
        </w:rPr>
        <w:t xml:space="preserve"> </w:t>
      </w:r>
      <w:r w:rsidR="00913D57" w:rsidRPr="000142AB">
        <w:rPr>
          <w:lang w:val="fr-FR"/>
        </w:rPr>
        <w:t xml:space="preserve">estime </w:t>
      </w:r>
      <w:r w:rsidR="00EE4426" w:rsidRPr="000142AB">
        <w:rPr>
          <w:lang w:val="fr-FR"/>
        </w:rPr>
        <w:t xml:space="preserve">inacceptable que les occupants </w:t>
      </w:r>
      <w:r w:rsidR="009B486C" w:rsidRPr="000142AB">
        <w:rPr>
          <w:lang w:val="fr-FR"/>
        </w:rPr>
        <w:t>sans titre</w:t>
      </w:r>
      <w:r w:rsidR="00EE4426" w:rsidRPr="000142AB">
        <w:rPr>
          <w:lang w:val="fr-FR"/>
        </w:rPr>
        <w:t xml:space="preserve"> utilisent son immeuble en toute impunité depuis plus de cinq ans </w:t>
      </w:r>
      <w:r w:rsidR="00913D57" w:rsidRPr="000142AB">
        <w:rPr>
          <w:lang w:val="fr-FR"/>
        </w:rPr>
        <w:t xml:space="preserve">tandis </w:t>
      </w:r>
      <w:r w:rsidR="00EE4426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EE4426" w:rsidRPr="000142AB">
        <w:rPr>
          <w:lang w:val="fr-FR"/>
        </w:rPr>
        <w:t>elle</w:t>
      </w:r>
      <w:r w:rsidR="00913D57" w:rsidRPr="000142AB">
        <w:rPr>
          <w:lang w:val="fr-FR"/>
        </w:rPr>
        <w:t>-même</w:t>
      </w:r>
      <w:r w:rsidR="00EE4426" w:rsidRPr="000142AB">
        <w:rPr>
          <w:lang w:val="fr-FR"/>
        </w:rPr>
        <w:t xml:space="preserve"> reste</w:t>
      </w:r>
      <w:r w:rsidR="00913D57" w:rsidRPr="000142AB">
        <w:rPr>
          <w:lang w:val="fr-FR"/>
        </w:rPr>
        <w:t>rait</w:t>
      </w:r>
      <w:r w:rsidR="00EE4426" w:rsidRPr="000142AB">
        <w:rPr>
          <w:lang w:val="fr-FR"/>
        </w:rPr>
        <w:t xml:space="preserve"> redevable des frais de consommation d</w:t>
      </w:r>
      <w:r w:rsidR="000142AB" w:rsidRPr="000142AB">
        <w:rPr>
          <w:lang w:val="fr-FR"/>
        </w:rPr>
        <w:t>’</w:t>
      </w:r>
      <w:r w:rsidR="00EE4426" w:rsidRPr="000142AB">
        <w:rPr>
          <w:lang w:val="fr-FR"/>
        </w:rPr>
        <w:t>eau et d</w:t>
      </w:r>
      <w:r w:rsidR="000142AB" w:rsidRPr="000142AB">
        <w:rPr>
          <w:lang w:val="fr-FR"/>
        </w:rPr>
        <w:t>’</w:t>
      </w:r>
      <w:r w:rsidR="00EE4426" w:rsidRPr="000142AB">
        <w:rPr>
          <w:lang w:val="fr-FR"/>
        </w:rPr>
        <w:t>électri</w:t>
      </w:r>
      <w:r w:rsidR="00913D57" w:rsidRPr="000142AB">
        <w:rPr>
          <w:lang w:val="fr-FR"/>
        </w:rPr>
        <w:t>cité</w:t>
      </w:r>
      <w:r w:rsidR="00EE4426" w:rsidRPr="000142AB">
        <w:rPr>
          <w:lang w:val="fr-FR"/>
        </w:rPr>
        <w:t>.</w:t>
      </w:r>
    </w:p>
    <w:p w:rsidR="004C12E4" w:rsidRPr="000142AB" w:rsidRDefault="003D27F8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42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Le Gouvernement ne conteste pas </w:t>
      </w:r>
      <w:r w:rsidR="00D43A7B" w:rsidRPr="000142AB">
        <w:rPr>
          <w:lang w:val="fr-FR"/>
        </w:rPr>
        <w:t>que l</w:t>
      </w:r>
      <w:r w:rsidR="000142AB" w:rsidRPr="000142AB">
        <w:rPr>
          <w:lang w:val="fr-FR"/>
        </w:rPr>
        <w:t>’</w:t>
      </w:r>
      <w:r w:rsidR="00D43A7B" w:rsidRPr="000142AB">
        <w:rPr>
          <w:lang w:val="fr-FR"/>
        </w:rPr>
        <w:t xml:space="preserve">immeuble de la requérante </w:t>
      </w:r>
      <w:r w:rsidR="00607CB5" w:rsidRPr="000142AB">
        <w:rPr>
          <w:lang w:val="fr-FR"/>
        </w:rPr>
        <w:t xml:space="preserve">est </w:t>
      </w:r>
      <w:r w:rsidR="00D43A7B" w:rsidRPr="000142AB">
        <w:rPr>
          <w:lang w:val="fr-FR"/>
        </w:rPr>
        <w:t xml:space="preserve">occupé sans titre par des tiers. Il </w:t>
      </w:r>
      <w:r w:rsidR="00607CB5" w:rsidRPr="000142AB">
        <w:rPr>
          <w:lang w:val="fr-FR"/>
        </w:rPr>
        <w:t>réplique</w:t>
      </w:r>
      <w:r w:rsidR="00D43A7B" w:rsidRPr="000142AB">
        <w:rPr>
          <w:lang w:val="fr-FR"/>
        </w:rPr>
        <w:t xml:space="preserve"> cependant que les autorités compétentes, à savoir le préfet et le CPSOP, sont </w:t>
      </w:r>
      <w:r w:rsidR="00AA5F76" w:rsidRPr="000142AB">
        <w:rPr>
          <w:lang w:val="fr-FR"/>
        </w:rPr>
        <w:t xml:space="preserve">déterminées à donner exécution à la </w:t>
      </w:r>
      <w:r w:rsidR="003C2C4E" w:rsidRPr="000142AB">
        <w:rPr>
          <w:lang w:val="fr-FR"/>
        </w:rPr>
        <w:t xml:space="preserve">décision du 9 août 2013 </w:t>
      </w:r>
      <w:r w:rsidR="00607CB5" w:rsidRPr="000142AB">
        <w:rPr>
          <w:lang w:val="fr-FR"/>
        </w:rPr>
        <w:t>pour</w:t>
      </w:r>
      <w:r w:rsidR="000A02D7" w:rsidRPr="000142AB">
        <w:rPr>
          <w:lang w:val="fr-FR"/>
        </w:rPr>
        <w:t xml:space="preserve"> garantir le</w:t>
      </w:r>
      <w:r w:rsidR="00766810" w:rsidRPr="000142AB">
        <w:rPr>
          <w:lang w:val="fr-FR"/>
        </w:rPr>
        <w:t xml:space="preserve"> droit</w:t>
      </w:r>
      <w:r w:rsidR="000A02D7" w:rsidRPr="000142AB">
        <w:rPr>
          <w:lang w:val="fr-FR"/>
        </w:rPr>
        <w:t xml:space="preserve"> </w:t>
      </w:r>
      <w:r w:rsidR="00CF3F65" w:rsidRPr="000142AB">
        <w:rPr>
          <w:lang w:val="fr-FR"/>
        </w:rPr>
        <w:t>de</w:t>
      </w:r>
      <w:r w:rsidR="00766810" w:rsidRPr="000142AB">
        <w:rPr>
          <w:lang w:val="fr-FR"/>
        </w:rPr>
        <w:t xml:space="preserve"> propriété de la requérante</w:t>
      </w:r>
      <w:r w:rsidR="00607CB5" w:rsidRPr="000142AB">
        <w:rPr>
          <w:lang w:val="fr-FR"/>
        </w:rPr>
        <w:t>,</w:t>
      </w:r>
      <w:r w:rsidR="00766810" w:rsidRPr="000142AB">
        <w:rPr>
          <w:lang w:val="fr-FR"/>
        </w:rPr>
        <w:t xml:space="preserve"> mais également </w:t>
      </w:r>
      <w:r w:rsidR="00607CB5" w:rsidRPr="000142AB">
        <w:rPr>
          <w:lang w:val="fr-FR"/>
        </w:rPr>
        <w:t xml:space="preserve">pour assurer le </w:t>
      </w:r>
      <w:r w:rsidR="00330E96" w:rsidRPr="000142AB">
        <w:rPr>
          <w:lang w:val="fr-FR"/>
        </w:rPr>
        <w:t>respect</w:t>
      </w:r>
      <w:r w:rsidR="00607CB5" w:rsidRPr="000142AB">
        <w:rPr>
          <w:lang w:val="fr-FR"/>
        </w:rPr>
        <w:t xml:space="preserve"> d</w:t>
      </w:r>
      <w:r w:rsidR="00330E96" w:rsidRPr="000142AB">
        <w:rPr>
          <w:lang w:val="fr-FR"/>
        </w:rPr>
        <w:t>es</w:t>
      </w:r>
      <w:r w:rsidR="00766810" w:rsidRPr="000142AB">
        <w:rPr>
          <w:lang w:val="fr-FR"/>
        </w:rPr>
        <w:t xml:space="preserve"> droits </w:t>
      </w:r>
      <w:r w:rsidR="00220F06" w:rsidRPr="000142AB">
        <w:rPr>
          <w:lang w:val="fr-FR"/>
        </w:rPr>
        <w:t>fondamentaux</w:t>
      </w:r>
      <w:r w:rsidR="00766810" w:rsidRPr="000142AB">
        <w:rPr>
          <w:lang w:val="fr-FR"/>
        </w:rPr>
        <w:t xml:space="preserve"> des occupants et </w:t>
      </w:r>
      <w:r w:rsidR="00607CB5" w:rsidRPr="000142AB">
        <w:rPr>
          <w:lang w:val="fr-FR"/>
        </w:rPr>
        <w:t xml:space="preserve">de </w:t>
      </w:r>
      <w:r w:rsidR="00766810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4D2195" w:rsidRPr="000142AB">
        <w:rPr>
          <w:lang w:val="fr-FR"/>
        </w:rPr>
        <w:t>exigence de sauvegarde</w:t>
      </w:r>
      <w:r w:rsidR="00607CB5" w:rsidRPr="000142AB">
        <w:rPr>
          <w:lang w:val="fr-FR"/>
        </w:rPr>
        <w:t xml:space="preserve"> de</w:t>
      </w:r>
      <w:r w:rsidR="004D2195" w:rsidRPr="000142AB">
        <w:rPr>
          <w:lang w:val="fr-FR"/>
        </w:rPr>
        <w:t xml:space="preserve"> </w:t>
      </w:r>
      <w:r w:rsidR="00766810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766810" w:rsidRPr="000142AB">
        <w:rPr>
          <w:lang w:val="fr-FR"/>
        </w:rPr>
        <w:t>ordre public.</w:t>
      </w:r>
      <w:r w:rsidR="002E1D40" w:rsidRPr="000142AB">
        <w:rPr>
          <w:lang w:val="fr-FR"/>
        </w:rPr>
        <w:t xml:space="preserve"> </w:t>
      </w:r>
      <w:r w:rsidR="004C12E4" w:rsidRPr="000142AB">
        <w:rPr>
          <w:lang w:val="fr-FR"/>
        </w:rPr>
        <w:t xml:space="preserve">Ainsi, </w:t>
      </w:r>
      <w:r w:rsidR="00330E96" w:rsidRPr="000142AB">
        <w:rPr>
          <w:lang w:val="fr-FR"/>
        </w:rPr>
        <w:t xml:space="preserve">le Gouvernement </w:t>
      </w:r>
      <w:r w:rsidR="00607CB5" w:rsidRPr="000142AB">
        <w:rPr>
          <w:lang w:val="fr-FR"/>
        </w:rPr>
        <w:t xml:space="preserve">soutient </w:t>
      </w:r>
      <w:r w:rsidR="00330E96" w:rsidRPr="000142AB">
        <w:rPr>
          <w:lang w:val="fr-FR"/>
        </w:rPr>
        <w:t xml:space="preserve">que </w:t>
      </w:r>
      <w:r w:rsidR="004C12E4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4C12E4" w:rsidRPr="000142AB">
        <w:rPr>
          <w:lang w:val="fr-FR"/>
        </w:rPr>
        <w:t xml:space="preserve">exécution de la saisie </w:t>
      </w:r>
      <w:r w:rsidR="00011634" w:rsidRPr="000142AB">
        <w:rPr>
          <w:lang w:val="fr-FR"/>
        </w:rPr>
        <w:t>provisoire de l</w:t>
      </w:r>
      <w:r w:rsidR="000142AB" w:rsidRPr="000142AB">
        <w:rPr>
          <w:lang w:val="fr-FR"/>
        </w:rPr>
        <w:t>’</w:t>
      </w:r>
      <w:r w:rsidR="00011634" w:rsidRPr="000142AB">
        <w:rPr>
          <w:lang w:val="fr-FR"/>
        </w:rPr>
        <w:t>immeuble</w:t>
      </w:r>
      <w:r w:rsidR="004C12E4" w:rsidRPr="000142AB">
        <w:rPr>
          <w:lang w:val="fr-FR"/>
        </w:rPr>
        <w:t xml:space="preserve"> a été simplement suspendue </w:t>
      </w:r>
      <w:r w:rsidR="000976C8" w:rsidRPr="000142AB">
        <w:rPr>
          <w:lang w:val="fr-FR"/>
        </w:rPr>
        <w:t>compte tenu de la complexité de la situation et</w:t>
      </w:r>
      <w:r w:rsidR="0033711C" w:rsidRPr="000142AB">
        <w:rPr>
          <w:lang w:val="fr-FR"/>
        </w:rPr>
        <w:t xml:space="preserve"> des différents intérêts en jeu.</w:t>
      </w:r>
    </w:p>
    <w:p w:rsidR="00233C21" w:rsidRPr="000142AB" w:rsidRDefault="00125FEA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607CB5" w:rsidRPr="000142AB">
        <w:rPr>
          <w:lang w:val="fr-FR"/>
        </w:rPr>
        <w:t xml:space="preserve">Il précise que </w:t>
      </w:r>
      <w:r w:rsidR="00233C21" w:rsidRPr="000142AB">
        <w:rPr>
          <w:lang w:val="fr-FR"/>
        </w:rPr>
        <w:t xml:space="preserve">la requérante a </w:t>
      </w:r>
      <w:r w:rsidR="00607CB5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607CB5" w:rsidRPr="000142AB">
        <w:rPr>
          <w:lang w:val="fr-FR"/>
        </w:rPr>
        <w:t xml:space="preserve">ailleurs </w:t>
      </w:r>
      <w:r w:rsidR="00233C21" w:rsidRPr="000142AB">
        <w:rPr>
          <w:lang w:val="fr-FR"/>
        </w:rPr>
        <w:t xml:space="preserve">été </w:t>
      </w:r>
      <w:r w:rsidR="00CE3F8D" w:rsidRPr="000142AB">
        <w:rPr>
          <w:lang w:val="fr-FR"/>
        </w:rPr>
        <w:t>personnellement</w:t>
      </w:r>
      <w:r w:rsidR="00233C21" w:rsidRPr="000142AB">
        <w:rPr>
          <w:lang w:val="fr-FR"/>
        </w:rPr>
        <w:t xml:space="preserve"> </w:t>
      </w:r>
      <w:r w:rsidR="00607CB5" w:rsidRPr="000142AB">
        <w:rPr>
          <w:lang w:val="fr-FR"/>
        </w:rPr>
        <w:t>informée</w:t>
      </w:r>
      <w:r w:rsidR="00233C21" w:rsidRPr="000142AB">
        <w:rPr>
          <w:lang w:val="fr-FR"/>
        </w:rPr>
        <w:t xml:space="preserve"> </w:t>
      </w:r>
      <w:r w:rsidR="003B1CAB" w:rsidRPr="000142AB">
        <w:rPr>
          <w:lang w:val="fr-FR"/>
        </w:rPr>
        <w:t xml:space="preserve">par les autorités </w:t>
      </w:r>
      <w:r w:rsidR="00233C21" w:rsidRPr="000142AB">
        <w:rPr>
          <w:lang w:val="fr-FR"/>
        </w:rPr>
        <w:t>des circonstances afférentes</w:t>
      </w:r>
      <w:r w:rsidR="003B1CAB" w:rsidRPr="000142AB">
        <w:rPr>
          <w:lang w:val="fr-FR"/>
        </w:rPr>
        <w:t xml:space="preserve"> à</w:t>
      </w:r>
      <w:r w:rsidR="00233C21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233C21" w:rsidRPr="000142AB">
        <w:rPr>
          <w:lang w:val="fr-FR"/>
        </w:rPr>
        <w:t>exécution de la saisie de son immeuble</w:t>
      </w:r>
      <w:r w:rsidR="00CE3F8D" w:rsidRPr="000142AB">
        <w:rPr>
          <w:lang w:val="fr-FR"/>
        </w:rPr>
        <w:t>,</w:t>
      </w:r>
      <w:r w:rsidR="00233C21" w:rsidRPr="000142AB">
        <w:rPr>
          <w:lang w:val="fr-FR"/>
        </w:rPr>
        <w:t xml:space="preserve"> notamment par la lettre du</w:t>
      </w:r>
      <w:r w:rsidR="000142AB" w:rsidRPr="000142AB">
        <w:rPr>
          <w:lang w:val="fr-FR"/>
        </w:rPr>
        <w:t xml:space="preserve"> 17 juin 2015 (paragraphe 15 ci</w:t>
      </w:r>
      <w:r w:rsidR="000142AB" w:rsidRPr="000142AB">
        <w:rPr>
          <w:lang w:val="fr-FR"/>
        </w:rPr>
        <w:noBreakHyphen/>
      </w:r>
      <w:r w:rsidR="00233C21" w:rsidRPr="000142AB">
        <w:rPr>
          <w:lang w:val="fr-FR"/>
        </w:rPr>
        <w:t>dessus).</w:t>
      </w:r>
    </w:p>
    <w:p w:rsidR="00365BF4" w:rsidRPr="000142AB" w:rsidRDefault="006129C3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44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5C3B9F" w:rsidRPr="000142AB">
        <w:rPr>
          <w:lang w:val="fr-FR"/>
        </w:rPr>
        <w:t>L</w:t>
      </w:r>
      <w:r w:rsidR="00A66C7D" w:rsidRPr="000142AB">
        <w:rPr>
          <w:lang w:val="fr-FR"/>
        </w:rPr>
        <w:t xml:space="preserve">e Gouvernement affirme </w:t>
      </w:r>
      <w:r w:rsidR="005C3B9F" w:rsidRPr="000142AB">
        <w:rPr>
          <w:lang w:val="fr-FR"/>
        </w:rPr>
        <w:t xml:space="preserve">également </w:t>
      </w:r>
      <w:r w:rsidR="00A66C7D" w:rsidRPr="000142AB">
        <w:rPr>
          <w:lang w:val="fr-FR"/>
        </w:rPr>
        <w:t xml:space="preserve">que </w:t>
      </w:r>
      <w:r w:rsidR="00365BF4" w:rsidRPr="000142AB">
        <w:rPr>
          <w:lang w:val="fr-FR"/>
        </w:rPr>
        <w:t xml:space="preserve">la situation de la requérante </w:t>
      </w:r>
      <w:r w:rsidR="0033711C" w:rsidRPr="000142AB">
        <w:rPr>
          <w:lang w:val="fr-FR"/>
        </w:rPr>
        <w:t>est</w:t>
      </w:r>
      <w:r w:rsidR="00365BF4" w:rsidRPr="000142AB">
        <w:rPr>
          <w:lang w:val="fr-FR"/>
        </w:rPr>
        <w:t xml:space="preserve"> cons</w:t>
      </w:r>
      <w:r w:rsidR="003B1CAB" w:rsidRPr="000142AB">
        <w:rPr>
          <w:lang w:val="fr-FR"/>
        </w:rPr>
        <w:t xml:space="preserve">idérée </w:t>
      </w:r>
      <w:r w:rsidR="00875FF7" w:rsidRPr="000142AB">
        <w:rPr>
          <w:lang w:val="fr-FR"/>
        </w:rPr>
        <w:t>comme</w:t>
      </w:r>
      <w:r w:rsidR="009B486C" w:rsidRPr="000142AB">
        <w:rPr>
          <w:lang w:val="fr-FR"/>
        </w:rPr>
        <w:t xml:space="preserve"> </w:t>
      </w:r>
      <w:r w:rsidR="00CE3CC3" w:rsidRPr="000142AB">
        <w:rPr>
          <w:lang w:val="fr-FR"/>
        </w:rPr>
        <w:t xml:space="preserve">une </w:t>
      </w:r>
      <w:r w:rsidR="003B1CAB" w:rsidRPr="000142AB">
        <w:rPr>
          <w:lang w:val="fr-FR"/>
        </w:rPr>
        <w:t>priorit</w:t>
      </w:r>
      <w:r w:rsidR="00CE3CC3" w:rsidRPr="000142AB">
        <w:rPr>
          <w:lang w:val="fr-FR"/>
        </w:rPr>
        <w:t>é</w:t>
      </w:r>
      <w:r w:rsidR="003B1CAB" w:rsidRPr="000142AB">
        <w:rPr>
          <w:lang w:val="fr-FR"/>
        </w:rPr>
        <w:t xml:space="preserve"> par les </w:t>
      </w:r>
      <w:r w:rsidR="00365BF4" w:rsidRPr="000142AB">
        <w:rPr>
          <w:lang w:val="fr-FR"/>
        </w:rPr>
        <w:t>autorités</w:t>
      </w:r>
      <w:r w:rsidR="003F3E6C" w:rsidRPr="000142AB">
        <w:rPr>
          <w:lang w:val="fr-FR"/>
        </w:rPr>
        <w:t>. Il en veut pour preuve que</w:t>
      </w:r>
      <w:r w:rsidR="00875FF7" w:rsidRPr="000142AB">
        <w:rPr>
          <w:lang w:val="fr-FR"/>
        </w:rPr>
        <w:t>,</w:t>
      </w:r>
      <w:r w:rsidR="003F3E6C" w:rsidRPr="000142AB">
        <w:rPr>
          <w:lang w:val="fr-FR"/>
        </w:rPr>
        <w:t xml:space="preserve"> </w:t>
      </w:r>
      <w:r w:rsidR="00D33490" w:rsidRPr="000142AB">
        <w:rPr>
          <w:lang w:val="fr-FR"/>
        </w:rPr>
        <w:t>le 30 mars 2016</w:t>
      </w:r>
      <w:r w:rsidR="00875FF7" w:rsidRPr="000142AB">
        <w:rPr>
          <w:lang w:val="fr-FR"/>
        </w:rPr>
        <w:t>,</w:t>
      </w:r>
      <w:r w:rsidR="00365BF4" w:rsidRPr="000142AB">
        <w:rPr>
          <w:lang w:val="fr-FR"/>
        </w:rPr>
        <w:t xml:space="preserve"> </w:t>
      </w:r>
      <w:r w:rsidR="003F3E6C" w:rsidRPr="000142AB">
        <w:rPr>
          <w:lang w:val="fr-FR"/>
        </w:rPr>
        <w:t xml:space="preserve">elles </w:t>
      </w:r>
      <w:r w:rsidR="00365BF4" w:rsidRPr="000142AB">
        <w:rPr>
          <w:lang w:val="fr-FR"/>
        </w:rPr>
        <w:t>ont</w:t>
      </w:r>
      <w:r w:rsidR="00D33490" w:rsidRPr="000142AB">
        <w:rPr>
          <w:lang w:val="fr-FR"/>
        </w:rPr>
        <w:t xml:space="preserve"> officiellement</w:t>
      </w:r>
      <w:r w:rsidR="00365BF4" w:rsidRPr="000142AB">
        <w:rPr>
          <w:lang w:val="fr-FR"/>
        </w:rPr>
        <w:t xml:space="preserve"> invité la municipalité de Rome </w:t>
      </w:r>
      <w:r w:rsidR="008360B6" w:rsidRPr="000142AB">
        <w:rPr>
          <w:lang w:val="fr-FR"/>
        </w:rPr>
        <w:t>à</w:t>
      </w:r>
      <w:r w:rsidR="00365BF4" w:rsidRPr="000142AB">
        <w:rPr>
          <w:lang w:val="fr-FR"/>
        </w:rPr>
        <w:t xml:space="preserve"> </w:t>
      </w:r>
      <w:r w:rsidR="002334BB" w:rsidRPr="000142AB">
        <w:rPr>
          <w:lang w:val="fr-FR"/>
        </w:rPr>
        <w:t>accomplir</w:t>
      </w:r>
      <w:r w:rsidR="00365BF4" w:rsidRPr="000142AB">
        <w:rPr>
          <w:lang w:val="fr-FR"/>
        </w:rPr>
        <w:t xml:space="preserve"> les démarches nécessaire</w:t>
      </w:r>
      <w:r w:rsidR="008360B6" w:rsidRPr="000142AB">
        <w:rPr>
          <w:lang w:val="fr-FR"/>
        </w:rPr>
        <w:t>s</w:t>
      </w:r>
      <w:r w:rsidR="00365BF4" w:rsidRPr="000142AB">
        <w:rPr>
          <w:lang w:val="fr-FR"/>
        </w:rPr>
        <w:t xml:space="preserve"> </w:t>
      </w:r>
      <w:r w:rsidR="00CE3CC3" w:rsidRPr="000142AB">
        <w:rPr>
          <w:lang w:val="fr-FR"/>
        </w:rPr>
        <w:t xml:space="preserve">afin de </w:t>
      </w:r>
      <w:r w:rsidR="00A66C7D" w:rsidRPr="000142AB">
        <w:rPr>
          <w:lang w:val="fr-FR"/>
        </w:rPr>
        <w:t xml:space="preserve">trouver des solutions de </w:t>
      </w:r>
      <w:r w:rsidR="004C12E4" w:rsidRPr="000142AB">
        <w:rPr>
          <w:lang w:val="fr-FR"/>
        </w:rPr>
        <w:t>re</w:t>
      </w:r>
      <w:r w:rsidR="00A66C7D" w:rsidRPr="000142AB">
        <w:rPr>
          <w:lang w:val="fr-FR"/>
        </w:rPr>
        <w:t>logement pour</w:t>
      </w:r>
      <w:r w:rsidR="00365BF4" w:rsidRPr="000142AB">
        <w:rPr>
          <w:lang w:val="fr-FR"/>
        </w:rPr>
        <w:t xml:space="preserve"> les occupants de l</w:t>
      </w:r>
      <w:r w:rsidR="000142AB" w:rsidRPr="000142AB">
        <w:rPr>
          <w:lang w:val="fr-FR"/>
        </w:rPr>
        <w:t>’</w:t>
      </w:r>
      <w:r w:rsidR="00365BF4" w:rsidRPr="000142AB">
        <w:rPr>
          <w:lang w:val="fr-FR"/>
        </w:rPr>
        <w:t>immeuble</w:t>
      </w:r>
      <w:r w:rsidR="00BA35DE" w:rsidRPr="000142AB">
        <w:rPr>
          <w:lang w:val="fr-FR"/>
        </w:rPr>
        <w:t>.</w:t>
      </w:r>
    </w:p>
    <w:p w:rsidR="0075652F" w:rsidRPr="000142AB" w:rsidRDefault="003B1CAB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45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</w:t>
      </w:r>
      <w:r w:rsidR="00875FF7" w:rsidRPr="000142AB">
        <w:rPr>
          <w:lang w:val="fr-FR"/>
        </w:rPr>
        <w:t> </w:t>
      </w:r>
      <w:r w:rsidRPr="000142AB">
        <w:rPr>
          <w:lang w:val="fr-FR"/>
        </w:rPr>
        <w:t> </w:t>
      </w:r>
      <w:r w:rsidR="00D33490" w:rsidRPr="000142AB">
        <w:rPr>
          <w:lang w:val="fr-FR"/>
        </w:rPr>
        <w:t>Le Gouvernement</w:t>
      </w:r>
      <w:r w:rsidRPr="000142AB">
        <w:rPr>
          <w:lang w:val="fr-FR"/>
        </w:rPr>
        <w:t xml:space="preserve"> estime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il n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y a pas eu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atteinte à la propriété de la requérante et que, bien au contraire, la mesure de saisie décidée en sa faveur </w:t>
      </w:r>
      <w:r w:rsidR="00CE3F8D" w:rsidRPr="000142AB">
        <w:rPr>
          <w:lang w:val="fr-FR"/>
        </w:rPr>
        <w:t>par l</w:t>
      </w:r>
      <w:r w:rsidR="000142AB" w:rsidRPr="000142AB">
        <w:rPr>
          <w:lang w:val="fr-FR"/>
        </w:rPr>
        <w:t>’</w:t>
      </w:r>
      <w:r w:rsidR="00CE3F8D" w:rsidRPr="000142AB">
        <w:rPr>
          <w:lang w:val="fr-FR"/>
        </w:rPr>
        <w:t xml:space="preserve">autorité judiciaire </w:t>
      </w:r>
      <w:r w:rsidRPr="000142AB">
        <w:rPr>
          <w:lang w:val="fr-FR"/>
        </w:rPr>
        <w:t>constitue la preuve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une reconnaissance </w:t>
      </w:r>
      <w:r w:rsidR="00875FF7" w:rsidRPr="000142AB">
        <w:rPr>
          <w:lang w:val="fr-FR"/>
        </w:rPr>
        <w:t>du</w:t>
      </w:r>
      <w:r w:rsidRPr="000142AB">
        <w:rPr>
          <w:lang w:val="fr-FR"/>
        </w:rPr>
        <w:t xml:space="preserve"> d</w:t>
      </w:r>
      <w:r w:rsidR="00D33490" w:rsidRPr="000142AB">
        <w:rPr>
          <w:lang w:val="fr-FR"/>
        </w:rPr>
        <w:t xml:space="preserve">roit </w:t>
      </w:r>
      <w:r w:rsidR="00875FF7" w:rsidRPr="000142AB">
        <w:rPr>
          <w:lang w:val="fr-FR"/>
        </w:rPr>
        <w:t xml:space="preserve">de celle-ci </w:t>
      </w:r>
      <w:r w:rsidR="00D33490" w:rsidRPr="000142AB">
        <w:rPr>
          <w:lang w:val="fr-FR"/>
        </w:rPr>
        <w:t>au respect de sa propriété.</w:t>
      </w:r>
    </w:p>
    <w:p w:rsidR="0075652F" w:rsidRPr="000142AB" w:rsidRDefault="00800652" w:rsidP="000142AB">
      <w:pPr>
        <w:pStyle w:val="ECHRHeading3"/>
        <w:rPr>
          <w:lang w:val="fr-FR"/>
        </w:rPr>
      </w:pPr>
      <w:r w:rsidRPr="000142AB">
        <w:rPr>
          <w:lang w:val="fr-FR"/>
        </w:rPr>
        <w:t>2.  Appréciation de la Cour</w:t>
      </w:r>
    </w:p>
    <w:p w:rsidR="00800652" w:rsidRPr="000142AB" w:rsidRDefault="00800652" w:rsidP="000142AB">
      <w:pPr>
        <w:pStyle w:val="ECHRHeading4"/>
        <w:rPr>
          <w:lang w:val="fr-FR"/>
        </w:rPr>
      </w:pPr>
      <w:r w:rsidRPr="000142AB">
        <w:rPr>
          <w:lang w:val="fr-FR"/>
        </w:rPr>
        <w:t>a)</w:t>
      </w:r>
      <w:r w:rsidR="00607CB5" w:rsidRPr="000142AB">
        <w:rPr>
          <w:lang w:val="fr-FR"/>
        </w:rPr>
        <w:t>  </w:t>
      </w:r>
      <w:r w:rsidR="007D74E2" w:rsidRPr="000142AB">
        <w:rPr>
          <w:lang w:val="fr-FR"/>
        </w:rPr>
        <w:t>Sur la violation de l</w:t>
      </w:r>
      <w:r w:rsidR="000142AB" w:rsidRPr="000142AB">
        <w:rPr>
          <w:lang w:val="fr-FR"/>
        </w:rPr>
        <w:t>’</w:t>
      </w:r>
      <w:r w:rsidR="007D74E2" w:rsidRPr="000142AB">
        <w:rPr>
          <w:lang w:val="fr-FR"/>
        </w:rPr>
        <w:t>article 6 § 1 de la Convention</w:t>
      </w:r>
    </w:p>
    <w:p w:rsidR="0085072B" w:rsidRPr="000142AB" w:rsidRDefault="0085072B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46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156808" w:rsidRPr="000142AB">
        <w:rPr>
          <w:lang w:val="fr-FR"/>
        </w:rPr>
        <w:t>La Cour a récemment résumé les principes de sa jurisprudence en matière de</w:t>
      </w:r>
      <w:r w:rsidR="001A067B" w:rsidRPr="000142AB">
        <w:rPr>
          <w:lang w:val="fr-FR"/>
        </w:rPr>
        <w:t xml:space="preserve"> droit d</w:t>
      </w:r>
      <w:r w:rsidR="000142AB" w:rsidRPr="000142AB">
        <w:rPr>
          <w:lang w:val="fr-FR"/>
        </w:rPr>
        <w:t>’</w:t>
      </w:r>
      <w:r w:rsidR="001A067B" w:rsidRPr="000142AB">
        <w:rPr>
          <w:lang w:val="fr-FR"/>
        </w:rPr>
        <w:t>accès à un tribunal dans l</w:t>
      </w:r>
      <w:r w:rsidR="000142AB" w:rsidRPr="000142AB">
        <w:rPr>
          <w:lang w:val="fr-FR"/>
        </w:rPr>
        <w:t>’</w:t>
      </w:r>
      <w:r w:rsidR="001A067B" w:rsidRPr="000142AB">
        <w:rPr>
          <w:lang w:val="fr-FR"/>
        </w:rPr>
        <w:t>arrêt</w:t>
      </w:r>
      <w:r w:rsidR="00156808" w:rsidRPr="000142AB">
        <w:rPr>
          <w:lang w:val="fr-FR"/>
        </w:rPr>
        <w:t xml:space="preserve"> </w:t>
      </w:r>
      <w:r w:rsidR="00156808" w:rsidRPr="000142AB">
        <w:rPr>
          <w:i/>
          <w:lang w:val="fr-FR"/>
        </w:rPr>
        <w:t>Paroisse gréco-catholique Lupeni et autres c. Roumanie</w:t>
      </w:r>
      <w:r w:rsidR="00156808" w:rsidRPr="000142AB">
        <w:rPr>
          <w:lang w:val="fr-FR"/>
        </w:rPr>
        <w:t xml:space="preserve"> ([GC], n</w:t>
      </w:r>
      <w:r w:rsidR="00156808" w:rsidRPr="000142AB">
        <w:rPr>
          <w:vertAlign w:val="superscript"/>
          <w:lang w:val="fr-FR"/>
        </w:rPr>
        <w:t>o</w:t>
      </w:r>
      <w:r w:rsidR="00156808" w:rsidRPr="000142AB">
        <w:rPr>
          <w:lang w:val="fr-FR"/>
        </w:rPr>
        <w:t xml:space="preserve"> 76943/11, §</w:t>
      </w:r>
      <w:r w:rsidR="001A067B" w:rsidRPr="000142AB">
        <w:rPr>
          <w:lang w:val="fr-FR"/>
        </w:rPr>
        <w:t>§ 84-90</w:t>
      </w:r>
      <w:r w:rsidR="00156808" w:rsidRPr="000142AB">
        <w:rPr>
          <w:lang w:val="fr-FR"/>
        </w:rPr>
        <w:t>, 29</w:t>
      </w:r>
      <w:r w:rsidR="00EB0AB4" w:rsidRPr="000142AB">
        <w:rPr>
          <w:lang w:val="fr-FR"/>
        </w:rPr>
        <w:t> </w:t>
      </w:r>
      <w:r w:rsidR="00156808" w:rsidRPr="000142AB">
        <w:rPr>
          <w:lang w:val="fr-FR"/>
        </w:rPr>
        <w:t>novembre</w:t>
      </w:r>
      <w:r w:rsidR="000142AB" w:rsidRPr="000142AB">
        <w:rPr>
          <w:lang w:val="fr-FR"/>
        </w:rPr>
        <w:t xml:space="preserve"> </w:t>
      </w:r>
      <w:r w:rsidR="00156808" w:rsidRPr="000142AB">
        <w:rPr>
          <w:lang w:val="fr-FR"/>
        </w:rPr>
        <w:t xml:space="preserve">2016). </w:t>
      </w:r>
      <w:r w:rsidR="00051DF3" w:rsidRPr="000142AB">
        <w:rPr>
          <w:lang w:val="fr-FR"/>
        </w:rPr>
        <w:t>Aussi</w:t>
      </w:r>
      <w:r w:rsidR="00156808" w:rsidRPr="000142AB">
        <w:rPr>
          <w:lang w:val="fr-FR"/>
        </w:rPr>
        <w:t>,</w:t>
      </w:r>
      <w:r w:rsidR="00CE3CC3" w:rsidRPr="000142AB">
        <w:rPr>
          <w:lang w:val="fr-FR"/>
        </w:rPr>
        <w:t xml:space="preserve"> </w:t>
      </w:r>
      <w:r w:rsidR="00B95902" w:rsidRPr="000142AB">
        <w:rPr>
          <w:lang w:val="fr-FR"/>
        </w:rPr>
        <w:t xml:space="preserve">la Cour </w:t>
      </w:r>
      <w:r w:rsidR="00B95902" w:rsidRPr="000142AB">
        <w:rPr>
          <w:rFonts w:ascii="Times New Roman" w:hAnsi="Times New Roman"/>
          <w:szCs w:val="24"/>
          <w:lang w:val="fr-FR"/>
        </w:rPr>
        <w:t>rappelle que le droit à l</w:t>
      </w:r>
      <w:r w:rsidR="000142AB" w:rsidRPr="000142AB">
        <w:rPr>
          <w:rFonts w:ascii="Times New Roman" w:hAnsi="Times New Roman"/>
          <w:szCs w:val="24"/>
          <w:lang w:val="fr-FR"/>
        </w:rPr>
        <w:t>’</w:t>
      </w:r>
      <w:r w:rsidR="00B95902" w:rsidRPr="000142AB">
        <w:rPr>
          <w:rFonts w:ascii="Times New Roman" w:hAnsi="Times New Roman"/>
          <w:szCs w:val="24"/>
          <w:lang w:val="fr-FR"/>
        </w:rPr>
        <w:t>exécution d</w:t>
      </w:r>
      <w:r w:rsidR="000142AB" w:rsidRPr="000142AB">
        <w:rPr>
          <w:rFonts w:ascii="Times New Roman" w:hAnsi="Times New Roman"/>
          <w:szCs w:val="24"/>
          <w:lang w:val="fr-FR"/>
        </w:rPr>
        <w:t>’</w:t>
      </w:r>
      <w:r w:rsidR="00B95902" w:rsidRPr="000142AB">
        <w:rPr>
          <w:rFonts w:ascii="Times New Roman" w:hAnsi="Times New Roman"/>
          <w:szCs w:val="24"/>
          <w:lang w:val="fr-FR"/>
        </w:rPr>
        <w:t>une décision de justice est un des aspects du droit d</w:t>
      </w:r>
      <w:r w:rsidR="000142AB" w:rsidRPr="000142AB">
        <w:rPr>
          <w:rFonts w:ascii="Times New Roman" w:hAnsi="Times New Roman"/>
          <w:szCs w:val="24"/>
          <w:lang w:val="fr-FR"/>
        </w:rPr>
        <w:t>’</w:t>
      </w:r>
      <w:r w:rsidR="00B95902" w:rsidRPr="000142AB">
        <w:rPr>
          <w:rFonts w:ascii="Times New Roman" w:hAnsi="Times New Roman"/>
          <w:szCs w:val="24"/>
          <w:lang w:val="fr-FR"/>
        </w:rPr>
        <w:t>accès à un tribunal.</w:t>
      </w:r>
      <w:r w:rsidR="00D323B2" w:rsidRPr="000142AB">
        <w:rPr>
          <w:rFonts w:ascii="Times New Roman" w:hAnsi="Times New Roman"/>
          <w:szCs w:val="24"/>
          <w:lang w:val="fr-FR"/>
        </w:rPr>
        <w:t xml:space="preserve"> </w:t>
      </w:r>
      <w:r w:rsidR="00F9775A" w:rsidRPr="000142AB">
        <w:rPr>
          <w:rFonts w:ascii="Times New Roman" w:hAnsi="Times New Roman"/>
          <w:szCs w:val="24"/>
          <w:lang w:val="fr-FR"/>
        </w:rPr>
        <w:t>Comme la Cour l</w:t>
      </w:r>
      <w:r w:rsidR="000142AB" w:rsidRPr="000142AB">
        <w:rPr>
          <w:rFonts w:ascii="Times New Roman" w:hAnsi="Times New Roman"/>
          <w:szCs w:val="24"/>
          <w:lang w:val="fr-FR"/>
        </w:rPr>
        <w:t>’</w:t>
      </w:r>
      <w:r w:rsidR="00F9775A" w:rsidRPr="000142AB">
        <w:rPr>
          <w:rFonts w:ascii="Times New Roman" w:hAnsi="Times New Roman"/>
          <w:szCs w:val="24"/>
          <w:lang w:val="fr-FR"/>
        </w:rPr>
        <w:t xml:space="preserve">a déjà affirmé, </w:t>
      </w:r>
      <w:r w:rsidRPr="000142AB">
        <w:rPr>
          <w:lang w:val="fr-FR"/>
        </w:rPr>
        <w:t>le droit à un tribunal serait illusoire si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ordre juridique interne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un </w:t>
      </w:r>
      <w:r w:rsidR="00114FD9" w:rsidRPr="000142AB">
        <w:rPr>
          <w:rFonts w:cstheme="minorHAnsi"/>
          <w:lang w:val="fr-FR"/>
        </w:rPr>
        <w:t>É</w:t>
      </w:r>
      <w:r w:rsidRPr="000142AB">
        <w:rPr>
          <w:lang w:val="fr-FR"/>
        </w:rPr>
        <w:t>tat contractant permettait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une décision judic</w:t>
      </w:r>
      <w:r w:rsidR="00CB5CBB" w:rsidRPr="000142AB">
        <w:rPr>
          <w:lang w:val="fr-FR"/>
        </w:rPr>
        <w:t>i</w:t>
      </w:r>
      <w:r w:rsidRPr="000142AB">
        <w:rPr>
          <w:lang w:val="fr-FR"/>
        </w:rPr>
        <w:t>aire définitive et obligatoire rest</w:t>
      </w:r>
      <w:r w:rsidR="00F91ACE" w:rsidRPr="000142AB">
        <w:rPr>
          <w:lang w:val="fr-FR"/>
        </w:rPr>
        <w:t>ât</w:t>
      </w:r>
      <w:r w:rsidRPr="000142AB">
        <w:rPr>
          <w:lang w:val="fr-FR"/>
        </w:rPr>
        <w:t xml:space="preserve"> inopérante au détriment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une partie. En effet, on ne comprendrait pas que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6 § 1 décrive en détail les garanties de procédure – équité, publicité et célérité – accordées aux parties et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il ne </w:t>
      </w:r>
      <w:r w:rsidRPr="000142AB">
        <w:rPr>
          <w:lang w:val="fr-FR"/>
        </w:rPr>
        <w:lastRenderedPageBreak/>
        <w:t xml:space="preserve">protège pas la mise en </w:t>
      </w:r>
      <w:r w:rsidR="00051DF3" w:rsidRPr="000142AB">
        <w:rPr>
          <w:lang w:val="fr-FR"/>
        </w:rPr>
        <w:t>œuvre des décisions judiciaires </w:t>
      </w:r>
      <w:r w:rsidRPr="000142AB">
        <w:rPr>
          <w:lang w:val="fr-FR"/>
        </w:rPr>
        <w:t>; si cet article devait passer pour concerner exclusivement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accès au juge et le déroulement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instance, cela risquerait de créer des situations incompatibles avec le principe de la prééminence du droit que les </w:t>
      </w:r>
      <w:r w:rsidR="00CE3CC3" w:rsidRPr="000142AB">
        <w:rPr>
          <w:rFonts w:cstheme="minorHAnsi"/>
          <w:lang w:val="fr-FR"/>
        </w:rPr>
        <w:t>É</w:t>
      </w:r>
      <w:r w:rsidRPr="000142AB">
        <w:rPr>
          <w:lang w:val="fr-FR"/>
        </w:rPr>
        <w:t>tats contractants se sont engagés à respecter en ratifiant la Convention.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exécution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 jugement ou arrêt, de quelque juridiction que ce soit, doit donc être considérée comme faisant partie intégrante du « procès » au sens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6 (voir</w:t>
      </w:r>
      <w:r w:rsidR="00156808" w:rsidRPr="000142AB">
        <w:rPr>
          <w:lang w:val="fr-FR"/>
        </w:rPr>
        <w:t>, entre autres,</w:t>
      </w:r>
      <w:r w:rsidR="00F94B69" w:rsidRPr="000142AB">
        <w:rPr>
          <w:lang w:val="fr-FR"/>
        </w:rPr>
        <w:t xml:space="preserve"> </w:t>
      </w:r>
      <w:r w:rsidRPr="000142AB">
        <w:rPr>
          <w:i/>
          <w:lang w:val="fr-FR"/>
        </w:rPr>
        <w:t>Hornsby c. Grèce</w:t>
      </w:r>
      <w:r w:rsidR="00F94B69" w:rsidRPr="000142AB">
        <w:rPr>
          <w:lang w:val="fr-FR"/>
        </w:rPr>
        <w:t>,</w:t>
      </w:r>
      <w:r w:rsidRPr="000142AB">
        <w:rPr>
          <w:lang w:val="fr-FR"/>
        </w:rPr>
        <w:t xml:space="preserve"> 19 mars 1997</w:t>
      </w:r>
      <w:r w:rsidR="00CE3CC3" w:rsidRPr="000142AB">
        <w:rPr>
          <w:lang w:val="fr-FR"/>
        </w:rPr>
        <w:t>, § 40</w:t>
      </w:r>
      <w:r w:rsidRPr="000142AB">
        <w:rPr>
          <w:lang w:val="fr-FR"/>
        </w:rPr>
        <w:t xml:space="preserve">, </w:t>
      </w:r>
      <w:r w:rsidRPr="000142AB">
        <w:rPr>
          <w:i/>
          <w:lang w:val="fr-FR"/>
        </w:rPr>
        <w:t>Recueil</w:t>
      </w:r>
      <w:r w:rsidRPr="000142AB">
        <w:rPr>
          <w:lang w:val="fr-FR"/>
        </w:rPr>
        <w:t xml:space="preserve"> 1997-II).</w:t>
      </w:r>
    </w:p>
    <w:p w:rsidR="0085072B" w:rsidRPr="000142AB" w:rsidRDefault="0085072B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47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Par ailleurs, la Cour </w:t>
      </w:r>
      <w:r w:rsidR="00D45DDA" w:rsidRPr="000142AB">
        <w:rPr>
          <w:lang w:val="fr-FR"/>
        </w:rPr>
        <w:t>rappelle</w:t>
      </w:r>
      <w:r w:rsidRPr="000142AB">
        <w:rPr>
          <w:lang w:val="fr-FR"/>
        </w:rPr>
        <w:t xml:space="preserve"> que</w:t>
      </w:r>
      <w:r w:rsidR="00D45DDA" w:rsidRPr="000142AB">
        <w:rPr>
          <w:lang w:val="fr-FR"/>
        </w:rPr>
        <w:t>,</w:t>
      </w:r>
      <w:r w:rsidRPr="000142AB">
        <w:rPr>
          <w:lang w:val="fr-FR"/>
        </w:rPr>
        <w:t xml:space="preserve"> si </w:t>
      </w:r>
      <w:r w:rsidR="00CE3CC3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on peut admettre que les </w:t>
      </w:r>
      <w:r w:rsidR="00D45DDA" w:rsidRPr="000142AB">
        <w:rPr>
          <w:rFonts w:cstheme="minorHAnsi"/>
          <w:lang w:val="fr-FR"/>
        </w:rPr>
        <w:t>É</w:t>
      </w:r>
      <w:r w:rsidRPr="000142AB">
        <w:rPr>
          <w:lang w:val="fr-FR"/>
        </w:rPr>
        <w:t>tats interviennent dans une procédure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exécution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une décision de justice, pareille intervention ne peut avoir comme conséquence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empêcher,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invalider ou encore de retarder de manière excessive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exécution, </w:t>
      </w:r>
      <w:r w:rsidR="00D45DDA" w:rsidRPr="000142AB">
        <w:rPr>
          <w:lang w:val="fr-FR"/>
        </w:rPr>
        <w:t>et</w:t>
      </w:r>
      <w:r w:rsidRPr="000142AB">
        <w:rPr>
          <w:lang w:val="fr-FR"/>
        </w:rPr>
        <w:t xml:space="preserve"> encore</w:t>
      </w:r>
      <w:r w:rsidR="00D45DDA" w:rsidRPr="000142AB">
        <w:rPr>
          <w:lang w:val="fr-FR"/>
        </w:rPr>
        <w:t xml:space="preserve"> moins</w:t>
      </w:r>
      <w:r w:rsidRPr="000142AB">
        <w:rPr>
          <w:lang w:val="fr-FR"/>
        </w:rPr>
        <w:t xml:space="preserve"> de remettre en question le fond de cette décision (</w:t>
      </w:r>
      <w:r w:rsidRPr="000142AB">
        <w:rPr>
          <w:i/>
          <w:lang w:val="fr-FR"/>
        </w:rPr>
        <w:t xml:space="preserve">Immobiliare Saffi c. </w:t>
      </w:r>
      <w:r w:rsidR="00A4396C" w:rsidRPr="000142AB">
        <w:rPr>
          <w:i/>
          <w:lang w:val="fr-FR"/>
        </w:rPr>
        <w:t xml:space="preserve">Italie </w:t>
      </w:r>
      <w:r w:rsidR="00A4396C" w:rsidRPr="000142AB">
        <w:rPr>
          <w:lang w:val="it-IT"/>
        </w:rPr>
        <w:t>[GC]</w:t>
      </w:r>
      <w:r w:rsidR="00D45DDA" w:rsidRPr="000142AB">
        <w:rPr>
          <w:lang w:val="fr-FR"/>
        </w:rPr>
        <w:t xml:space="preserve">, </w:t>
      </w:r>
      <w:r w:rsidR="00A4396C" w:rsidRPr="000142AB">
        <w:rPr>
          <w:lang w:val="it-IT"/>
        </w:rPr>
        <w:t>n</w:t>
      </w:r>
      <w:r w:rsidR="00A4396C" w:rsidRPr="000142AB">
        <w:rPr>
          <w:vertAlign w:val="superscript"/>
          <w:lang w:val="it-IT"/>
        </w:rPr>
        <w:t>o</w:t>
      </w:r>
      <w:r w:rsidR="00A4396C" w:rsidRPr="000142AB">
        <w:rPr>
          <w:lang w:val="it-IT"/>
        </w:rPr>
        <w:t xml:space="preserve"> 22774/93</w:t>
      </w:r>
      <w:r w:rsidRPr="000142AB">
        <w:rPr>
          <w:lang w:val="fr-FR"/>
        </w:rPr>
        <w:t>, §§ 63 et 66</w:t>
      </w:r>
      <w:r w:rsidR="00A4396C" w:rsidRPr="000142AB">
        <w:rPr>
          <w:lang w:val="it-IT"/>
        </w:rPr>
        <w:t>, CEDH 1999</w:t>
      </w:r>
      <w:r w:rsidR="00A4396C" w:rsidRPr="000142AB">
        <w:rPr>
          <w:lang w:val="it-IT"/>
        </w:rPr>
        <w:noBreakHyphen/>
        <w:t>V</w:t>
      </w:r>
      <w:r w:rsidRPr="000142AB">
        <w:rPr>
          <w:lang w:val="fr-FR"/>
        </w:rPr>
        <w:t>). Un sursis à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exécution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une décision de justice pendant le temps strictement nécessaire </w:t>
      </w:r>
      <w:r w:rsidR="00F91ACE" w:rsidRPr="000142AB">
        <w:rPr>
          <w:lang w:val="fr-FR"/>
        </w:rPr>
        <w:t xml:space="preserve">pour </w:t>
      </w:r>
      <w:r w:rsidRPr="000142AB">
        <w:rPr>
          <w:lang w:val="fr-FR"/>
        </w:rPr>
        <w:t>trouver une solution satisfaisante aux problèmes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ordre public peut se justifier dans des circonstances exceptionnelles (</w:t>
      </w:r>
      <w:r w:rsidRPr="000142AB">
        <w:rPr>
          <w:i/>
          <w:lang w:val="fr-FR"/>
        </w:rPr>
        <w:t>ibidem</w:t>
      </w:r>
      <w:r w:rsidRPr="000142AB">
        <w:rPr>
          <w:lang w:val="fr-FR"/>
        </w:rPr>
        <w:t>, §</w:t>
      </w:r>
      <w:r w:rsidR="00EB0AB4" w:rsidRPr="000142AB">
        <w:rPr>
          <w:lang w:val="fr-FR"/>
        </w:rPr>
        <w:t> </w:t>
      </w:r>
      <w:r w:rsidRPr="000142AB">
        <w:rPr>
          <w:lang w:val="fr-FR"/>
        </w:rPr>
        <w:t>69).</w:t>
      </w:r>
    </w:p>
    <w:p w:rsidR="0075652F" w:rsidRPr="000142AB" w:rsidRDefault="00BB0FB7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48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6129C3" w:rsidRPr="000142AB">
        <w:rPr>
          <w:lang w:val="fr-FR"/>
        </w:rPr>
        <w:t>Il</w:t>
      </w:r>
      <w:r w:rsidR="00451525" w:rsidRPr="000142AB">
        <w:rPr>
          <w:lang w:val="fr-FR"/>
        </w:rPr>
        <w:t xml:space="preserve"> appartient à chaque État contractant de se doter d</w:t>
      </w:r>
      <w:r w:rsidR="000142AB" w:rsidRPr="000142AB">
        <w:rPr>
          <w:lang w:val="fr-FR"/>
        </w:rPr>
        <w:t>’</w:t>
      </w:r>
      <w:r w:rsidR="00451525" w:rsidRPr="000142AB">
        <w:rPr>
          <w:lang w:val="fr-FR"/>
        </w:rPr>
        <w:t>un arsenal juridique adéquat et suffisant pour assurer le respect des obligations positives qui lui incombent. La Cour a pour tâche d</w:t>
      </w:r>
      <w:r w:rsidR="000142AB" w:rsidRPr="000142AB">
        <w:rPr>
          <w:lang w:val="fr-FR"/>
        </w:rPr>
        <w:t>’</w:t>
      </w:r>
      <w:r w:rsidR="00451525" w:rsidRPr="000142AB">
        <w:rPr>
          <w:lang w:val="fr-FR"/>
        </w:rPr>
        <w:t>examiner si en l</w:t>
      </w:r>
      <w:r w:rsidR="000142AB" w:rsidRPr="000142AB">
        <w:rPr>
          <w:lang w:val="fr-FR"/>
        </w:rPr>
        <w:t>’</w:t>
      </w:r>
      <w:r w:rsidR="00451525" w:rsidRPr="000142AB">
        <w:rPr>
          <w:lang w:val="fr-FR"/>
        </w:rPr>
        <w:t>espèce les mesures adoptées par les autorités nationales ont été adéquates et suffisantes (voir</w:t>
      </w:r>
      <w:r w:rsidR="000A381F" w:rsidRPr="000142AB">
        <w:rPr>
          <w:lang w:val="fr-FR"/>
        </w:rPr>
        <w:t>,</w:t>
      </w:r>
      <w:r w:rsidR="00451525" w:rsidRPr="000142AB">
        <w:rPr>
          <w:lang w:val="fr-FR"/>
        </w:rPr>
        <w:t xml:space="preserve"> </w:t>
      </w:r>
      <w:r w:rsidR="00451525" w:rsidRPr="000142AB">
        <w:rPr>
          <w:i/>
          <w:lang w:val="fr-FR"/>
        </w:rPr>
        <w:t>mutatis mutandis</w:t>
      </w:r>
      <w:r w:rsidR="000A381F" w:rsidRPr="000142AB">
        <w:rPr>
          <w:lang w:val="fr-FR"/>
        </w:rPr>
        <w:t>,</w:t>
      </w:r>
      <w:r w:rsidR="00451525" w:rsidRPr="000142AB">
        <w:rPr>
          <w:lang w:val="fr-FR"/>
        </w:rPr>
        <w:t xml:space="preserve"> </w:t>
      </w:r>
      <w:r w:rsidR="00451525" w:rsidRPr="000142AB">
        <w:rPr>
          <w:i/>
          <w:lang w:val="fr-FR"/>
        </w:rPr>
        <w:t>Ignaccolo-Zenide c. Roumanie</w:t>
      </w:r>
      <w:r w:rsidR="00451525" w:rsidRPr="000142AB">
        <w:rPr>
          <w:lang w:val="fr-FR"/>
        </w:rPr>
        <w:t xml:space="preserve"> [GC], n</w:t>
      </w:r>
      <w:r w:rsidR="0075652F" w:rsidRPr="000142AB">
        <w:rPr>
          <w:vertAlign w:val="superscript"/>
          <w:lang w:val="fr-FR"/>
        </w:rPr>
        <w:t>o</w:t>
      </w:r>
      <w:r w:rsidR="00EB0AB4" w:rsidRPr="000142AB">
        <w:rPr>
          <w:vertAlign w:val="superscript"/>
          <w:lang w:val="fr-FR"/>
        </w:rPr>
        <w:t> </w:t>
      </w:r>
      <w:r w:rsidR="00451525" w:rsidRPr="000142AB">
        <w:rPr>
          <w:lang w:val="fr-FR"/>
        </w:rPr>
        <w:t xml:space="preserve">31679/96, </w:t>
      </w:r>
      <w:r w:rsidR="00F70EE9" w:rsidRPr="000142AB">
        <w:rPr>
          <w:lang w:val="fr-FR"/>
        </w:rPr>
        <w:t xml:space="preserve">§ 108, </w:t>
      </w:r>
      <w:r w:rsidR="00DE5650" w:rsidRPr="000142AB">
        <w:rPr>
          <w:lang w:val="fr-FR"/>
        </w:rPr>
        <w:t xml:space="preserve">CEDH </w:t>
      </w:r>
      <w:r w:rsidR="00451525" w:rsidRPr="000142AB">
        <w:rPr>
          <w:lang w:val="fr-FR"/>
        </w:rPr>
        <w:t>2000-I).</w:t>
      </w:r>
    </w:p>
    <w:p w:rsidR="007861B1" w:rsidRPr="000142AB" w:rsidRDefault="0085072B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49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En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espèce, </w:t>
      </w:r>
      <w:r w:rsidR="00852668" w:rsidRPr="000142AB">
        <w:rPr>
          <w:lang w:val="fr-FR"/>
        </w:rPr>
        <w:t xml:space="preserve">la Cour </w:t>
      </w:r>
      <w:r w:rsidR="002064A1" w:rsidRPr="000142AB">
        <w:rPr>
          <w:lang w:val="fr-FR"/>
        </w:rPr>
        <w:t>note</w:t>
      </w:r>
      <w:r w:rsidR="00852668" w:rsidRPr="000142AB">
        <w:rPr>
          <w:lang w:val="fr-FR"/>
        </w:rPr>
        <w:t xml:space="preserve"> </w:t>
      </w:r>
      <w:r w:rsidR="000E1E77" w:rsidRPr="000142AB">
        <w:rPr>
          <w:lang w:val="fr-FR"/>
        </w:rPr>
        <w:t xml:space="preserve">tout </w:t>
      </w:r>
      <w:r w:rsidR="000A381F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0A381F" w:rsidRPr="000142AB">
        <w:rPr>
          <w:lang w:val="fr-FR"/>
        </w:rPr>
        <w:t xml:space="preserve">abord </w:t>
      </w:r>
      <w:r w:rsidR="00852668" w:rsidRPr="000142AB">
        <w:rPr>
          <w:lang w:val="fr-FR"/>
        </w:rPr>
        <w:t xml:space="preserve">que la décision du juge des investigations préliminaires de </w:t>
      </w:r>
      <w:r w:rsidR="002064A1" w:rsidRPr="000142AB">
        <w:rPr>
          <w:lang w:val="fr-FR"/>
        </w:rPr>
        <w:t xml:space="preserve">Rome du </w:t>
      </w:r>
      <w:r w:rsidR="00087A71" w:rsidRPr="000142AB">
        <w:rPr>
          <w:lang w:val="fr-FR"/>
        </w:rPr>
        <w:t>9 août 2013 portait sur un droit de caractère civil de la requérante, à savoir</w:t>
      </w:r>
      <w:r w:rsidR="0082050D" w:rsidRPr="000142AB">
        <w:rPr>
          <w:lang w:val="fr-FR"/>
        </w:rPr>
        <w:t xml:space="preserve"> la protection de son droit de propriété. </w:t>
      </w:r>
      <w:r w:rsidR="00087A71" w:rsidRPr="000142AB">
        <w:rPr>
          <w:lang w:val="fr-FR"/>
        </w:rPr>
        <w:t xml:space="preserve">Par ailleurs, ladite décision </w:t>
      </w:r>
      <w:r w:rsidR="000E1E77" w:rsidRPr="000142AB">
        <w:rPr>
          <w:lang w:val="fr-FR"/>
        </w:rPr>
        <w:t xml:space="preserve">de saisie </w:t>
      </w:r>
      <w:r w:rsidR="0082050D" w:rsidRPr="000142AB">
        <w:rPr>
          <w:lang w:val="fr-FR"/>
        </w:rPr>
        <w:t>revêtait</w:t>
      </w:r>
      <w:r w:rsidR="00087A71" w:rsidRPr="000142AB">
        <w:rPr>
          <w:lang w:val="fr-FR"/>
        </w:rPr>
        <w:t xml:space="preserve"> </w:t>
      </w:r>
      <w:r w:rsidR="004F71F0" w:rsidRPr="000142AB">
        <w:rPr>
          <w:lang w:val="fr-FR"/>
        </w:rPr>
        <w:t xml:space="preserve">de </w:t>
      </w:r>
      <w:r w:rsidR="00652917" w:rsidRPr="000142AB">
        <w:rPr>
          <w:lang w:val="fr-FR"/>
        </w:rPr>
        <w:t xml:space="preserve">par sa nature même </w:t>
      </w:r>
      <w:r w:rsidR="00087A71" w:rsidRPr="000142AB">
        <w:rPr>
          <w:lang w:val="fr-FR"/>
        </w:rPr>
        <w:t xml:space="preserve">un </w:t>
      </w:r>
      <w:r w:rsidR="0082050D" w:rsidRPr="000142AB">
        <w:rPr>
          <w:lang w:val="fr-FR"/>
        </w:rPr>
        <w:t>caractère</w:t>
      </w:r>
      <w:r w:rsidR="00087A71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82050D" w:rsidRPr="000142AB">
        <w:rPr>
          <w:lang w:val="fr-FR"/>
        </w:rPr>
        <w:t>urgence</w:t>
      </w:r>
      <w:r w:rsidR="00652917" w:rsidRPr="000142AB">
        <w:rPr>
          <w:lang w:val="fr-FR"/>
        </w:rPr>
        <w:t>,</w:t>
      </w:r>
      <w:r w:rsidR="0082050D" w:rsidRPr="000142AB">
        <w:rPr>
          <w:lang w:val="fr-FR"/>
        </w:rPr>
        <w:t xml:space="preserve"> dans la mesure où </w:t>
      </w:r>
      <w:r w:rsidR="00087A71" w:rsidRPr="000142AB">
        <w:rPr>
          <w:lang w:val="fr-FR"/>
        </w:rPr>
        <w:t xml:space="preserve">elle était destinée à </w:t>
      </w:r>
      <w:r w:rsidR="00AA748B" w:rsidRPr="000142AB">
        <w:rPr>
          <w:lang w:val="fr-FR"/>
        </w:rPr>
        <w:t xml:space="preserve">empêcher </w:t>
      </w:r>
      <w:r w:rsidR="000A4340" w:rsidRPr="000142AB">
        <w:rPr>
          <w:lang w:val="fr-FR"/>
        </w:rPr>
        <w:t>la poursuite</w:t>
      </w:r>
      <w:r w:rsidR="00652917" w:rsidRPr="000142AB">
        <w:rPr>
          <w:lang w:val="fr-FR"/>
        </w:rPr>
        <w:t xml:space="preserve"> </w:t>
      </w:r>
      <w:r w:rsidR="00AA748B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AA748B" w:rsidRPr="000142AB">
        <w:rPr>
          <w:lang w:val="fr-FR"/>
        </w:rPr>
        <w:t>une infraction</w:t>
      </w:r>
      <w:r w:rsidR="0082050D" w:rsidRPr="000142AB">
        <w:rPr>
          <w:lang w:val="fr-FR"/>
        </w:rPr>
        <w:t xml:space="preserve"> dans le </w:t>
      </w:r>
      <w:r w:rsidR="007861B1" w:rsidRPr="000142AB">
        <w:rPr>
          <w:lang w:val="fr-FR"/>
        </w:rPr>
        <w:t>but de prés</w:t>
      </w:r>
      <w:r w:rsidR="000E1E77" w:rsidRPr="000142AB">
        <w:rPr>
          <w:lang w:val="fr-FR"/>
        </w:rPr>
        <w:t>erver l</w:t>
      </w:r>
      <w:r w:rsidR="000142AB" w:rsidRPr="000142AB">
        <w:rPr>
          <w:lang w:val="fr-FR"/>
        </w:rPr>
        <w:t>’</w:t>
      </w:r>
      <w:r w:rsidR="000E1E77" w:rsidRPr="000142AB">
        <w:rPr>
          <w:lang w:val="fr-FR"/>
        </w:rPr>
        <w:t xml:space="preserve">intégrité </w:t>
      </w:r>
      <w:r w:rsidR="009D06DC" w:rsidRPr="000142AB">
        <w:rPr>
          <w:lang w:val="fr-FR"/>
        </w:rPr>
        <w:t>du bien de la partie lésée</w:t>
      </w:r>
      <w:r w:rsidR="000E1E77" w:rsidRPr="000142AB">
        <w:rPr>
          <w:lang w:val="fr-FR"/>
        </w:rPr>
        <w:t xml:space="preserve"> (</w:t>
      </w:r>
      <w:r w:rsidR="009D06DC" w:rsidRPr="000142AB">
        <w:rPr>
          <w:lang w:val="fr-FR"/>
        </w:rPr>
        <w:t>paragraphe 10 ci-dessus</w:t>
      </w:r>
      <w:r w:rsidR="000E1E77" w:rsidRPr="000142AB">
        <w:rPr>
          <w:lang w:val="fr-FR"/>
        </w:rPr>
        <w:t>).</w:t>
      </w:r>
      <w:r w:rsidR="000A4340" w:rsidRPr="000142AB">
        <w:rPr>
          <w:lang w:val="fr-FR"/>
        </w:rPr>
        <w:t xml:space="preserve"> En outre, il n</w:t>
      </w:r>
      <w:r w:rsidR="000142AB" w:rsidRPr="000142AB">
        <w:rPr>
          <w:lang w:val="fr-FR"/>
        </w:rPr>
        <w:t>’</w:t>
      </w:r>
      <w:r w:rsidR="000A4340" w:rsidRPr="000142AB">
        <w:rPr>
          <w:lang w:val="fr-FR"/>
        </w:rPr>
        <w:t>est pas contesté que la décision litigieuse avait un caractère définitif et exécutoire.</w:t>
      </w:r>
    </w:p>
    <w:p w:rsidR="0075652F" w:rsidRPr="000142AB" w:rsidRDefault="00852668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50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794959" w:rsidRPr="000142AB">
        <w:rPr>
          <w:lang w:val="fr-FR"/>
        </w:rPr>
        <w:t>Or</w:t>
      </w:r>
      <w:r w:rsidR="000A381F" w:rsidRPr="000142AB">
        <w:rPr>
          <w:lang w:val="fr-FR"/>
        </w:rPr>
        <w:t xml:space="preserve"> force est de constater que</w:t>
      </w:r>
      <w:r w:rsidR="00794959" w:rsidRPr="000142AB">
        <w:rPr>
          <w:lang w:val="fr-FR"/>
        </w:rPr>
        <w:t xml:space="preserve"> la sais</w:t>
      </w:r>
      <w:r w:rsidR="000A381F" w:rsidRPr="000142AB">
        <w:rPr>
          <w:lang w:val="fr-FR"/>
        </w:rPr>
        <w:t xml:space="preserve">ie </w:t>
      </w:r>
      <w:r w:rsidR="009D06DC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9D06DC" w:rsidRPr="000142AB">
        <w:rPr>
          <w:lang w:val="fr-FR"/>
        </w:rPr>
        <w:t xml:space="preserve">immeuble </w:t>
      </w:r>
      <w:r w:rsidR="000A381F" w:rsidRPr="000142AB">
        <w:rPr>
          <w:lang w:val="fr-FR"/>
        </w:rPr>
        <w:t>demeure aujourd</w:t>
      </w:r>
      <w:r w:rsidR="000142AB" w:rsidRPr="000142AB">
        <w:rPr>
          <w:lang w:val="fr-FR"/>
        </w:rPr>
        <w:t>’</w:t>
      </w:r>
      <w:r w:rsidR="000A381F" w:rsidRPr="000142AB">
        <w:rPr>
          <w:lang w:val="fr-FR"/>
        </w:rPr>
        <w:t xml:space="preserve">hui </w:t>
      </w:r>
      <w:r w:rsidR="009E4026" w:rsidRPr="000142AB">
        <w:rPr>
          <w:lang w:val="fr-FR"/>
        </w:rPr>
        <w:t xml:space="preserve">encore </w:t>
      </w:r>
      <w:r w:rsidR="000A381F" w:rsidRPr="000142AB">
        <w:rPr>
          <w:lang w:val="fr-FR"/>
        </w:rPr>
        <w:t>non</w:t>
      </w:r>
      <w:r w:rsidR="009E4026" w:rsidRPr="000142AB">
        <w:rPr>
          <w:lang w:val="fr-FR"/>
        </w:rPr>
        <w:t xml:space="preserve"> </w:t>
      </w:r>
      <w:r w:rsidR="000A381F" w:rsidRPr="000142AB">
        <w:rPr>
          <w:lang w:val="fr-FR"/>
        </w:rPr>
        <w:t>exécutée en dépit des nombreuses démarches accomplies régulièrement par la requérante pour obtenir l</w:t>
      </w:r>
      <w:r w:rsidR="000142AB" w:rsidRPr="000142AB">
        <w:rPr>
          <w:lang w:val="fr-FR"/>
        </w:rPr>
        <w:t>’</w:t>
      </w:r>
      <w:r w:rsidR="000A381F" w:rsidRPr="000142AB">
        <w:rPr>
          <w:lang w:val="fr-FR"/>
        </w:rPr>
        <w:t>exécution</w:t>
      </w:r>
      <w:r w:rsidR="004F71F0" w:rsidRPr="000142AB">
        <w:rPr>
          <w:lang w:val="fr-FR"/>
        </w:rPr>
        <w:t xml:space="preserve"> de cette décision</w:t>
      </w:r>
      <w:r w:rsidR="000A381F" w:rsidRPr="000142AB">
        <w:rPr>
          <w:lang w:val="fr-FR"/>
        </w:rPr>
        <w:t>.</w:t>
      </w:r>
      <w:r w:rsidR="009D06DC" w:rsidRPr="000142AB">
        <w:rPr>
          <w:lang w:val="fr-FR"/>
        </w:rPr>
        <w:t xml:space="preserve"> De plus, l</w:t>
      </w:r>
      <w:r w:rsidR="000A4340" w:rsidRPr="000142AB">
        <w:rPr>
          <w:lang w:val="fr-FR"/>
        </w:rPr>
        <w:t>a Cour observe qu</w:t>
      </w:r>
      <w:r w:rsidR="000142AB" w:rsidRPr="000142AB">
        <w:rPr>
          <w:lang w:val="fr-FR"/>
        </w:rPr>
        <w:t>’</w:t>
      </w:r>
      <w:r w:rsidR="000A4340" w:rsidRPr="000142AB">
        <w:rPr>
          <w:lang w:val="fr-FR"/>
        </w:rPr>
        <w:t>aucune tentative d</w:t>
      </w:r>
      <w:r w:rsidR="000142AB" w:rsidRPr="000142AB">
        <w:rPr>
          <w:lang w:val="fr-FR"/>
        </w:rPr>
        <w:t>’</w:t>
      </w:r>
      <w:r w:rsidR="000A4340" w:rsidRPr="000142AB">
        <w:rPr>
          <w:lang w:val="fr-FR"/>
        </w:rPr>
        <w:t>exécution n</w:t>
      </w:r>
      <w:r w:rsidR="000142AB" w:rsidRPr="000142AB">
        <w:rPr>
          <w:lang w:val="fr-FR"/>
        </w:rPr>
        <w:t>’</w:t>
      </w:r>
      <w:r w:rsidR="000A4340" w:rsidRPr="000142AB">
        <w:rPr>
          <w:lang w:val="fr-FR"/>
        </w:rPr>
        <w:t xml:space="preserve">a été effectuée par les autorités depuis </w:t>
      </w:r>
      <w:r w:rsidR="004F71F0" w:rsidRPr="000142AB">
        <w:rPr>
          <w:lang w:val="fr-FR"/>
        </w:rPr>
        <w:t>que le</w:t>
      </w:r>
      <w:r w:rsidR="000A4340" w:rsidRPr="000142AB">
        <w:rPr>
          <w:lang w:val="fr-FR"/>
        </w:rPr>
        <w:t xml:space="preserve"> juge</w:t>
      </w:r>
      <w:r w:rsidR="004F71F0" w:rsidRPr="000142AB">
        <w:rPr>
          <w:lang w:val="fr-FR"/>
        </w:rPr>
        <w:t xml:space="preserve"> a ordonné la saisie en question</w:t>
      </w:r>
      <w:r w:rsidR="000A4340" w:rsidRPr="000142AB">
        <w:rPr>
          <w:lang w:val="fr-FR"/>
        </w:rPr>
        <w:t>.</w:t>
      </w:r>
    </w:p>
    <w:p w:rsidR="00356636" w:rsidRPr="000142AB" w:rsidRDefault="00FD68F2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51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E978D1" w:rsidRPr="000142AB">
        <w:rPr>
          <w:lang w:val="fr-FR"/>
        </w:rPr>
        <w:t xml:space="preserve">Certes, le Gouvernement a justifié le retard </w:t>
      </w:r>
      <w:r w:rsidR="004F71F0" w:rsidRPr="000142AB">
        <w:rPr>
          <w:lang w:val="fr-FR"/>
        </w:rPr>
        <w:t xml:space="preserve">pris </w:t>
      </w:r>
      <w:r w:rsidR="00E978D1" w:rsidRPr="000142AB">
        <w:rPr>
          <w:lang w:val="fr-FR"/>
        </w:rPr>
        <w:t>dans l</w:t>
      </w:r>
      <w:r w:rsidR="000142AB" w:rsidRPr="000142AB">
        <w:rPr>
          <w:lang w:val="fr-FR"/>
        </w:rPr>
        <w:t>’</w:t>
      </w:r>
      <w:r w:rsidR="00E978D1" w:rsidRPr="000142AB">
        <w:rPr>
          <w:lang w:val="fr-FR"/>
        </w:rPr>
        <w:t xml:space="preserve">exécution </w:t>
      </w:r>
      <w:r w:rsidR="009E4026" w:rsidRPr="000142AB">
        <w:rPr>
          <w:lang w:val="fr-FR"/>
        </w:rPr>
        <w:t>par</w:t>
      </w:r>
      <w:r w:rsidR="00E978D1" w:rsidRPr="000142AB">
        <w:rPr>
          <w:lang w:val="fr-FR"/>
        </w:rPr>
        <w:t xml:space="preserve"> des raisons liées à l</w:t>
      </w:r>
      <w:r w:rsidR="000142AB" w:rsidRPr="000142AB">
        <w:rPr>
          <w:lang w:val="fr-FR"/>
        </w:rPr>
        <w:t>’</w:t>
      </w:r>
      <w:r w:rsidR="00E978D1" w:rsidRPr="000142AB">
        <w:rPr>
          <w:lang w:val="fr-FR"/>
        </w:rPr>
        <w:t xml:space="preserve">ordre public et </w:t>
      </w:r>
      <w:r w:rsidR="009E4026" w:rsidRPr="000142AB">
        <w:rPr>
          <w:lang w:val="fr-FR"/>
        </w:rPr>
        <w:t xml:space="preserve">par </w:t>
      </w:r>
      <w:r w:rsidR="00E978D1" w:rsidRPr="000142AB">
        <w:rPr>
          <w:lang w:val="fr-FR"/>
        </w:rPr>
        <w:t>des motivations d</w:t>
      </w:r>
      <w:r w:rsidR="000142AB" w:rsidRPr="000142AB">
        <w:rPr>
          <w:lang w:val="fr-FR"/>
        </w:rPr>
        <w:t>’</w:t>
      </w:r>
      <w:r w:rsidR="00E978D1" w:rsidRPr="000142AB">
        <w:rPr>
          <w:lang w:val="fr-FR"/>
        </w:rPr>
        <w:t xml:space="preserve">ordre social. </w:t>
      </w:r>
      <w:r w:rsidR="00356636" w:rsidRPr="000142AB">
        <w:rPr>
          <w:lang w:val="fr-FR"/>
        </w:rPr>
        <w:t>La</w:t>
      </w:r>
      <w:r w:rsidR="00C4062E" w:rsidRPr="000142AB">
        <w:rPr>
          <w:lang w:val="fr-FR"/>
        </w:rPr>
        <w:t xml:space="preserve"> Cour observe </w:t>
      </w:r>
      <w:r w:rsidR="00356636" w:rsidRPr="000142AB">
        <w:rPr>
          <w:lang w:val="fr-FR"/>
        </w:rPr>
        <w:t xml:space="preserve">à cet égard </w:t>
      </w:r>
      <w:r w:rsidR="00C4062E" w:rsidRPr="000142AB">
        <w:rPr>
          <w:lang w:val="fr-FR"/>
        </w:rPr>
        <w:t xml:space="preserve">que </w:t>
      </w:r>
      <w:r w:rsidR="007D35F9" w:rsidRPr="000142AB">
        <w:rPr>
          <w:lang w:val="fr-FR"/>
        </w:rPr>
        <w:t xml:space="preserve">les </w:t>
      </w:r>
      <w:r w:rsidR="00726EDD" w:rsidRPr="000142AB">
        <w:rPr>
          <w:lang w:val="fr-FR"/>
        </w:rPr>
        <w:t>motifs avancés</w:t>
      </w:r>
      <w:r w:rsidR="00C4062E" w:rsidRPr="000142AB">
        <w:rPr>
          <w:lang w:val="fr-FR"/>
        </w:rPr>
        <w:t xml:space="preserve"> par les autorités </w:t>
      </w:r>
      <w:r w:rsidR="007D35F9" w:rsidRPr="000142AB">
        <w:rPr>
          <w:lang w:val="fr-FR"/>
        </w:rPr>
        <w:t>pour justifier</w:t>
      </w:r>
      <w:r w:rsidR="00C4062E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7D35F9" w:rsidRPr="000142AB">
        <w:rPr>
          <w:lang w:val="fr-FR"/>
        </w:rPr>
        <w:t>in</w:t>
      </w:r>
      <w:r w:rsidR="00C4062E" w:rsidRPr="000142AB">
        <w:rPr>
          <w:lang w:val="fr-FR"/>
        </w:rPr>
        <w:t>ex</w:t>
      </w:r>
      <w:r w:rsidR="008E5714" w:rsidRPr="000142AB">
        <w:rPr>
          <w:lang w:val="fr-FR"/>
        </w:rPr>
        <w:t>é</w:t>
      </w:r>
      <w:r w:rsidR="00C4062E" w:rsidRPr="000142AB">
        <w:rPr>
          <w:lang w:val="fr-FR"/>
        </w:rPr>
        <w:t xml:space="preserve">cution </w:t>
      </w:r>
      <w:r w:rsidR="00FF0A10" w:rsidRPr="000142AB">
        <w:rPr>
          <w:lang w:val="fr-FR"/>
        </w:rPr>
        <w:t xml:space="preserve">de la saisie </w:t>
      </w:r>
      <w:r w:rsidR="00C4062E" w:rsidRPr="000142AB">
        <w:rPr>
          <w:lang w:val="fr-FR"/>
        </w:rPr>
        <w:t>concerne</w:t>
      </w:r>
      <w:r w:rsidR="007D35F9" w:rsidRPr="000142AB">
        <w:rPr>
          <w:lang w:val="fr-FR"/>
        </w:rPr>
        <w:t>nt</w:t>
      </w:r>
      <w:r w:rsidR="00C4062E" w:rsidRPr="000142AB">
        <w:rPr>
          <w:lang w:val="fr-FR"/>
        </w:rPr>
        <w:t xml:space="preserve"> </w:t>
      </w:r>
      <w:r w:rsidR="00456328" w:rsidRPr="000142AB">
        <w:rPr>
          <w:lang w:val="fr-FR"/>
        </w:rPr>
        <w:t xml:space="preserve">principalement </w:t>
      </w:r>
      <w:r w:rsidR="00C4062E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C4062E" w:rsidRPr="000142AB">
        <w:rPr>
          <w:lang w:val="fr-FR"/>
        </w:rPr>
        <w:t xml:space="preserve">absence de solutions de </w:t>
      </w:r>
      <w:r w:rsidR="00456328" w:rsidRPr="000142AB">
        <w:rPr>
          <w:lang w:val="fr-FR"/>
        </w:rPr>
        <w:t>re</w:t>
      </w:r>
      <w:r w:rsidR="00C4062E" w:rsidRPr="000142AB">
        <w:rPr>
          <w:lang w:val="fr-FR"/>
        </w:rPr>
        <w:t>logement</w:t>
      </w:r>
      <w:r w:rsidR="00ED30E4" w:rsidRPr="000142AB">
        <w:rPr>
          <w:lang w:val="fr-FR"/>
        </w:rPr>
        <w:t xml:space="preserve"> des occupants</w:t>
      </w:r>
      <w:r w:rsidR="00C4062E" w:rsidRPr="000142AB">
        <w:rPr>
          <w:lang w:val="fr-FR"/>
        </w:rPr>
        <w:t xml:space="preserve"> </w:t>
      </w:r>
      <w:r w:rsidR="009B050E" w:rsidRPr="000142AB">
        <w:rPr>
          <w:lang w:val="fr-FR"/>
        </w:rPr>
        <w:t>en raison notamment de difficultés finan</w:t>
      </w:r>
      <w:r w:rsidR="004F7AD4" w:rsidRPr="000142AB">
        <w:rPr>
          <w:lang w:val="fr-FR"/>
        </w:rPr>
        <w:t>cières de la municipalité (</w:t>
      </w:r>
      <w:r w:rsidR="00121701" w:rsidRPr="000142AB">
        <w:rPr>
          <w:lang w:val="fr-FR"/>
        </w:rPr>
        <w:t>paragraphe 18 ci-dessus</w:t>
      </w:r>
      <w:r w:rsidR="009B050E" w:rsidRPr="000142AB">
        <w:rPr>
          <w:lang w:val="fr-FR"/>
        </w:rPr>
        <w:t>)</w:t>
      </w:r>
      <w:r w:rsidR="00ED30E4" w:rsidRPr="000142AB">
        <w:rPr>
          <w:lang w:val="fr-FR"/>
        </w:rPr>
        <w:t xml:space="preserve">, </w:t>
      </w:r>
      <w:r w:rsidR="003B78B6" w:rsidRPr="000142AB">
        <w:rPr>
          <w:lang w:val="fr-FR"/>
        </w:rPr>
        <w:t xml:space="preserve">les raisons liées au risque </w:t>
      </w:r>
      <w:r w:rsidR="009E4026" w:rsidRPr="000142AB">
        <w:rPr>
          <w:lang w:val="fr-FR"/>
        </w:rPr>
        <w:t>de trouble</w:t>
      </w:r>
      <w:r w:rsidR="006608EE" w:rsidRPr="000142AB">
        <w:rPr>
          <w:lang w:val="fr-FR"/>
        </w:rPr>
        <w:t>s à</w:t>
      </w:r>
      <w:r w:rsidR="009E4026" w:rsidRPr="000142AB">
        <w:rPr>
          <w:lang w:val="fr-FR"/>
        </w:rPr>
        <w:t xml:space="preserve"> </w:t>
      </w:r>
      <w:r w:rsidR="003B78B6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3B78B6" w:rsidRPr="000142AB">
        <w:rPr>
          <w:lang w:val="fr-FR"/>
        </w:rPr>
        <w:t xml:space="preserve">ordre public </w:t>
      </w:r>
      <w:r w:rsidR="00ED30E4" w:rsidRPr="000142AB">
        <w:rPr>
          <w:lang w:val="fr-FR"/>
        </w:rPr>
        <w:t>n</w:t>
      </w:r>
      <w:r w:rsidR="000142AB" w:rsidRPr="000142AB">
        <w:rPr>
          <w:lang w:val="fr-FR"/>
        </w:rPr>
        <w:t>’</w:t>
      </w:r>
      <w:r w:rsidR="00ED30E4" w:rsidRPr="000142AB">
        <w:rPr>
          <w:lang w:val="fr-FR"/>
        </w:rPr>
        <w:t>ayant</w:t>
      </w:r>
      <w:r w:rsidR="003B78B6" w:rsidRPr="000142AB">
        <w:rPr>
          <w:lang w:val="fr-FR"/>
        </w:rPr>
        <w:t xml:space="preserve"> été évoquées que de manière </w:t>
      </w:r>
      <w:r w:rsidR="003B78B6" w:rsidRPr="000142AB">
        <w:rPr>
          <w:lang w:val="fr-FR"/>
        </w:rPr>
        <w:lastRenderedPageBreak/>
        <w:t xml:space="preserve">générale et </w:t>
      </w:r>
      <w:r w:rsidR="009E4026" w:rsidRPr="000142AB">
        <w:rPr>
          <w:lang w:val="fr-FR"/>
        </w:rPr>
        <w:t xml:space="preserve">non </w:t>
      </w:r>
      <w:r w:rsidR="00ED30E4" w:rsidRPr="000142AB">
        <w:rPr>
          <w:lang w:val="fr-FR"/>
        </w:rPr>
        <w:t>circonstanciée.</w:t>
      </w:r>
      <w:r w:rsidR="00356636" w:rsidRPr="000142AB">
        <w:rPr>
          <w:lang w:val="fr-FR"/>
        </w:rPr>
        <w:t xml:space="preserve"> </w:t>
      </w:r>
      <w:r w:rsidR="00FF0A10" w:rsidRPr="000142AB">
        <w:rPr>
          <w:lang w:val="fr-FR"/>
        </w:rPr>
        <w:t>Néanmoins</w:t>
      </w:r>
      <w:r w:rsidR="00356636" w:rsidRPr="000142AB">
        <w:rPr>
          <w:lang w:val="fr-FR"/>
        </w:rPr>
        <w:t xml:space="preserve">, </w:t>
      </w:r>
      <w:r w:rsidR="009E4026" w:rsidRPr="000142AB">
        <w:rPr>
          <w:lang w:val="fr-FR"/>
        </w:rPr>
        <w:t xml:space="preserve">la Cour </w:t>
      </w:r>
      <w:r w:rsidR="00356636" w:rsidRPr="000142AB">
        <w:rPr>
          <w:lang w:val="fr-FR"/>
        </w:rPr>
        <w:t>est prête à admettre que les autorités internes ont pu</w:t>
      </w:r>
      <w:r w:rsidR="00FF0A10" w:rsidRPr="000142AB">
        <w:rPr>
          <w:lang w:val="fr-FR"/>
        </w:rPr>
        <w:t xml:space="preserve"> avoir également le souci de</w:t>
      </w:r>
      <w:r w:rsidR="00356636" w:rsidRPr="000142AB">
        <w:rPr>
          <w:lang w:val="fr-FR"/>
        </w:rPr>
        <w:t xml:space="preserve"> </w:t>
      </w:r>
      <w:r w:rsidR="00FF0A10" w:rsidRPr="000142AB">
        <w:rPr>
          <w:lang w:val="fr-FR"/>
        </w:rPr>
        <w:t>pallier le risque sérieux de trouble</w:t>
      </w:r>
      <w:r w:rsidR="006608EE" w:rsidRPr="000142AB">
        <w:rPr>
          <w:lang w:val="fr-FR"/>
        </w:rPr>
        <w:t>s</w:t>
      </w:r>
      <w:r w:rsidR="00FF0A10" w:rsidRPr="000142AB">
        <w:rPr>
          <w:lang w:val="fr-FR"/>
        </w:rPr>
        <w:t xml:space="preserve"> à l</w:t>
      </w:r>
      <w:r w:rsidR="000142AB" w:rsidRPr="000142AB">
        <w:rPr>
          <w:lang w:val="fr-FR"/>
        </w:rPr>
        <w:t>’</w:t>
      </w:r>
      <w:r w:rsidR="00FF0A10" w:rsidRPr="000142AB">
        <w:rPr>
          <w:lang w:val="fr-FR"/>
        </w:rPr>
        <w:t>ordre public lié à l</w:t>
      </w:r>
      <w:r w:rsidR="000142AB" w:rsidRPr="000142AB">
        <w:rPr>
          <w:lang w:val="fr-FR"/>
        </w:rPr>
        <w:t>’</w:t>
      </w:r>
      <w:r w:rsidR="00FF0A10" w:rsidRPr="000142AB">
        <w:rPr>
          <w:lang w:val="fr-FR"/>
        </w:rPr>
        <w:t>expulsion de plusieurs dizaines de personnes</w:t>
      </w:r>
      <w:r w:rsidR="009E4026" w:rsidRPr="000142AB">
        <w:rPr>
          <w:lang w:val="fr-FR"/>
        </w:rPr>
        <w:t>,</w:t>
      </w:r>
      <w:r w:rsidR="008B24DC" w:rsidRPr="000142AB">
        <w:rPr>
          <w:lang w:val="fr-FR"/>
        </w:rPr>
        <w:t xml:space="preserve"> et ce</w:t>
      </w:r>
      <w:r w:rsidR="00FF0A10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FF0A10" w:rsidRPr="000142AB">
        <w:rPr>
          <w:lang w:val="fr-FR"/>
        </w:rPr>
        <w:t xml:space="preserve">autant </w:t>
      </w:r>
      <w:r w:rsidR="008B24DC" w:rsidRPr="000142AB">
        <w:rPr>
          <w:lang w:val="fr-FR"/>
        </w:rPr>
        <w:t>que l</w:t>
      </w:r>
      <w:r w:rsidR="000142AB" w:rsidRPr="000142AB">
        <w:rPr>
          <w:lang w:val="fr-FR"/>
        </w:rPr>
        <w:t>’</w:t>
      </w:r>
      <w:r w:rsidR="008B24DC" w:rsidRPr="000142AB">
        <w:rPr>
          <w:lang w:val="fr-FR"/>
        </w:rPr>
        <w:t xml:space="preserve">occupation </w:t>
      </w:r>
      <w:r w:rsidR="00726EDD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726EDD" w:rsidRPr="000142AB">
        <w:rPr>
          <w:lang w:val="fr-FR"/>
        </w:rPr>
        <w:t xml:space="preserve">immeuble </w:t>
      </w:r>
      <w:r w:rsidR="008B24DC" w:rsidRPr="000142AB">
        <w:rPr>
          <w:lang w:val="fr-FR"/>
        </w:rPr>
        <w:t>s</w:t>
      </w:r>
      <w:r w:rsidR="000142AB" w:rsidRPr="000142AB">
        <w:rPr>
          <w:lang w:val="fr-FR"/>
        </w:rPr>
        <w:t>’</w:t>
      </w:r>
      <w:r w:rsidR="008B24DC" w:rsidRPr="000142AB">
        <w:rPr>
          <w:lang w:val="fr-FR"/>
        </w:rPr>
        <w:t>inscrivait dans le cadre d</w:t>
      </w:r>
      <w:r w:rsidR="000142AB" w:rsidRPr="000142AB">
        <w:rPr>
          <w:lang w:val="fr-FR"/>
        </w:rPr>
        <w:t>’</w:t>
      </w:r>
      <w:r w:rsidR="008B24DC" w:rsidRPr="000142AB">
        <w:rPr>
          <w:lang w:val="fr-FR"/>
        </w:rPr>
        <w:t xml:space="preserve">une action militante à </w:t>
      </w:r>
      <w:r w:rsidR="009E4026" w:rsidRPr="000142AB">
        <w:rPr>
          <w:lang w:val="fr-FR"/>
        </w:rPr>
        <w:t>fort impact</w:t>
      </w:r>
      <w:r w:rsidR="008B24DC" w:rsidRPr="000142AB">
        <w:rPr>
          <w:lang w:val="fr-FR"/>
        </w:rPr>
        <w:t xml:space="preserve"> médiatique.</w:t>
      </w:r>
    </w:p>
    <w:p w:rsidR="0075652F" w:rsidRPr="000142AB" w:rsidRDefault="00ED30E4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52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FF0A10" w:rsidRPr="000142AB">
        <w:rPr>
          <w:lang w:val="fr-FR"/>
        </w:rPr>
        <w:t xml:space="preserve">Toutefois, force est de constater que le </w:t>
      </w:r>
      <w:r w:rsidR="00731E1B" w:rsidRPr="000142AB">
        <w:rPr>
          <w:lang w:val="fr-FR"/>
        </w:rPr>
        <w:t>Gouvernement n</w:t>
      </w:r>
      <w:r w:rsidR="000142AB" w:rsidRPr="000142AB">
        <w:rPr>
          <w:lang w:val="fr-FR"/>
        </w:rPr>
        <w:t>’</w:t>
      </w:r>
      <w:r w:rsidR="00731E1B" w:rsidRPr="000142AB">
        <w:rPr>
          <w:lang w:val="fr-FR"/>
        </w:rPr>
        <w:t>a donné aucune information quant aux démarches qui auraient été accomplies par l</w:t>
      </w:r>
      <w:r w:rsidR="000142AB" w:rsidRPr="000142AB">
        <w:rPr>
          <w:lang w:val="fr-FR"/>
        </w:rPr>
        <w:t>’</w:t>
      </w:r>
      <w:r w:rsidR="00731E1B" w:rsidRPr="000142AB">
        <w:rPr>
          <w:lang w:val="fr-FR"/>
        </w:rPr>
        <w:t xml:space="preserve">administration </w:t>
      </w:r>
      <w:r w:rsidR="00F05545" w:rsidRPr="000142AB">
        <w:rPr>
          <w:lang w:val="fr-FR"/>
        </w:rPr>
        <w:t>pour trouver des solutions de relogement</w:t>
      </w:r>
      <w:r w:rsidR="00731E1B" w:rsidRPr="000142AB">
        <w:rPr>
          <w:lang w:val="fr-FR"/>
        </w:rPr>
        <w:t xml:space="preserve"> </w:t>
      </w:r>
      <w:r w:rsidRPr="000142AB">
        <w:rPr>
          <w:lang w:val="fr-FR"/>
        </w:rPr>
        <w:t>depuis le début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occupation ou, du moins, </w:t>
      </w:r>
      <w:r w:rsidR="00B63279" w:rsidRPr="000142AB">
        <w:rPr>
          <w:lang w:val="fr-FR"/>
        </w:rPr>
        <w:t xml:space="preserve">depuis </w:t>
      </w:r>
      <w:r w:rsidRPr="000142AB">
        <w:rPr>
          <w:lang w:val="fr-FR"/>
        </w:rPr>
        <w:t xml:space="preserve">la note </w:t>
      </w:r>
      <w:r w:rsidR="004A04F0" w:rsidRPr="000142AB">
        <w:rPr>
          <w:lang w:val="fr-FR"/>
        </w:rPr>
        <w:t>officielle envoyée par le préfet</w:t>
      </w:r>
      <w:r w:rsidR="006B63B1" w:rsidRPr="000142AB">
        <w:rPr>
          <w:lang w:val="fr-FR"/>
        </w:rPr>
        <w:t xml:space="preserve"> le 30 </w:t>
      </w:r>
      <w:r w:rsidRPr="000142AB">
        <w:rPr>
          <w:lang w:val="fr-FR"/>
        </w:rPr>
        <w:t>mars 2016.</w:t>
      </w:r>
      <w:r w:rsidR="007D35F9" w:rsidRPr="000142AB">
        <w:rPr>
          <w:lang w:val="fr-FR"/>
        </w:rPr>
        <w:t xml:space="preserve"> Par ailleurs, rien dans le dossier </w:t>
      </w:r>
      <w:r w:rsidR="00B63279" w:rsidRPr="000142AB">
        <w:rPr>
          <w:lang w:val="fr-FR"/>
        </w:rPr>
        <w:t>n</w:t>
      </w:r>
      <w:r w:rsidR="000142AB" w:rsidRPr="000142AB">
        <w:rPr>
          <w:lang w:val="fr-FR"/>
        </w:rPr>
        <w:t>’</w:t>
      </w:r>
      <w:r w:rsidR="00B63279" w:rsidRPr="000142AB">
        <w:rPr>
          <w:lang w:val="fr-FR"/>
        </w:rPr>
        <w:t>évoque une</w:t>
      </w:r>
      <w:r w:rsidR="0078683F" w:rsidRPr="000142AB">
        <w:rPr>
          <w:lang w:val="fr-FR"/>
        </w:rPr>
        <w:t xml:space="preserve"> quelconque</w:t>
      </w:r>
      <w:r w:rsidR="007D35F9" w:rsidRPr="000142AB">
        <w:rPr>
          <w:lang w:val="fr-FR"/>
        </w:rPr>
        <w:t xml:space="preserve"> disposition</w:t>
      </w:r>
      <w:r w:rsidR="0078683F" w:rsidRPr="000142AB">
        <w:rPr>
          <w:lang w:val="fr-FR"/>
        </w:rPr>
        <w:t xml:space="preserve"> qui aurait été prise</w:t>
      </w:r>
      <w:r w:rsidR="007D35F9" w:rsidRPr="000142AB">
        <w:rPr>
          <w:lang w:val="fr-FR"/>
        </w:rPr>
        <w:t xml:space="preserve"> en ce sens</w:t>
      </w:r>
      <w:r w:rsidR="00DE4E87" w:rsidRPr="000142AB">
        <w:rPr>
          <w:lang w:val="fr-FR"/>
        </w:rPr>
        <w:t xml:space="preserve"> (</w:t>
      </w:r>
      <w:r w:rsidR="00B63279" w:rsidRPr="000142AB">
        <w:rPr>
          <w:lang w:val="fr-FR"/>
        </w:rPr>
        <w:t xml:space="preserve">voir, </w:t>
      </w:r>
      <w:r w:rsidR="00DE4E87" w:rsidRPr="000142AB">
        <w:rPr>
          <w:i/>
          <w:lang w:val="fr-FR"/>
        </w:rPr>
        <w:t>a contrario</w:t>
      </w:r>
      <w:r w:rsidR="00DE4E87" w:rsidRPr="000142AB">
        <w:rPr>
          <w:lang w:val="fr-FR"/>
        </w:rPr>
        <w:t xml:space="preserve">, </w:t>
      </w:r>
      <w:r w:rsidR="00DE4E87" w:rsidRPr="000142AB">
        <w:rPr>
          <w:i/>
          <w:lang w:val="fr-FR"/>
        </w:rPr>
        <w:t>Société Cofinco</w:t>
      </w:r>
      <w:r w:rsidR="00356636" w:rsidRPr="000142AB">
        <w:rPr>
          <w:i/>
          <w:lang w:val="fr-FR"/>
        </w:rPr>
        <w:t xml:space="preserve"> c.</w:t>
      </w:r>
      <w:r w:rsidR="00EB0AB4" w:rsidRPr="000142AB">
        <w:rPr>
          <w:i/>
          <w:lang w:val="fr-FR"/>
        </w:rPr>
        <w:t> </w:t>
      </w:r>
      <w:r w:rsidR="00DE4E87" w:rsidRPr="000142AB">
        <w:rPr>
          <w:i/>
          <w:lang w:val="fr-FR"/>
        </w:rPr>
        <w:t>France</w:t>
      </w:r>
      <w:r w:rsidR="00356636" w:rsidRPr="000142AB">
        <w:rPr>
          <w:lang w:val="fr-FR"/>
        </w:rPr>
        <w:t xml:space="preserve"> (déc.), n</w:t>
      </w:r>
      <w:r w:rsidR="00356636" w:rsidRPr="000142AB">
        <w:rPr>
          <w:vertAlign w:val="superscript"/>
          <w:lang w:val="fr-FR"/>
        </w:rPr>
        <w:t>o</w:t>
      </w:r>
      <w:r w:rsidR="00356636" w:rsidRPr="000142AB">
        <w:rPr>
          <w:lang w:val="fr-FR"/>
        </w:rPr>
        <w:t xml:space="preserve"> </w:t>
      </w:r>
      <w:r w:rsidR="00DE4E87" w:rsidRPr="000142AB">
        <w:rPr>
          <w:lang w:val="fr-FR"/>
        </w:rPr>
        <w:t xml:space="preserve">23516/08, </w:t>
      </w:r>
      <w:r w:rsidR="00F57EA1" w:rsidRPr="000142AB">
        <w:rPr>
          <w:lang w:val="fr-FR"/>
        </w:rPr>
        <w:t>12</w:t>
      </w:r>
      <w:r w:rsidR="00DE4E87" w:rsidRPr="000142AB">
        <w:rPr>
          <w:lang w:val="fr-FR"/>
        </w:rPr>
        <w:t xml:space="preserve"> octobre 2010</w:t>
      </w:r>
      <w:r w:rsidR="00356636" w:rsidRPr="000142AB">
        <w:rPr>
          <w:lang w:val="fr-FR"/>
        </w:rPr>
        <w:t>)</w:t>
      </w:r>
      <w:r w:rsidR="007D35F9" w:rsidRPr="000142AB">
        <w:rPr>
          <w:lang w:val="fr-FR"/>
        </w:rPr>
        <w:t>.</w:t>
      </w:r>
    </w:p>
    <w:p w:rsidR="00C852F9" w:rsidRPr="000142AB" w:rsidRDefault="00F05545" w:rsidP="000142AB">
      <w:pPr>
        <w:pStyle w:val="ECHRPara"/>
        <w:rPr>
          <w:lang w:val="pt-PT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FF0A10" w:rsidRPr="000142AB">
        <w:rPr>
          <w:lang w:val="fr-FR"/>
        </w:rPr>
        <w:t>Dès lors, s</w:t>
      </w:r>
      <w:r w:rsidR="00F85095" w:rsidRPr="000142AB">
        <w:rPr>
          <w:lang w:val="fr-FR"/>
        </w:rPr>
        <w:t xml:space="preserve">i la Cour </w:t>
      </w:r>
      <w:r w:rsidR="00FF0A10" w:rsidRPr="000142AB">
        <w:rPr>
          <w:lang w:val="fr-FR"/>
        </w:rPr>
        <w:t>reconna</w:t>
      </w:r>
      <w:r w:rsidR="005F4B70" w:rsidRPr="000142AB">
        <w:rPr>
          <w:lang w:val="fr-FR"/>
        </w:rPr>
        <w:t>î</w:t>
      </w:r>
      <w:r w:rsidR="00FF0A10" w:rsidRPr="000142AB">
        <w:rPr>
          <w:lang w:val="fr-FR"/>
        </w:rPr>
        <w:t>t que</w:t>
      </w:r>
      <w:r w:rsidR="00F85095" w:rsidRPr="000142AB">
        <w:rPr>
          <w:lang w:val="fr-FR"/>
        </w:rPr>
        <w:t xml:space="preserve"> l</w:t>
      </w:r>
      <w:r w:rsidR="00FD044C" w:rsidRPr="000142AB">
        <w:rPr>
          <w:lang w:val="fr-FR"/>
        </w:rPr>
        <w:t>es motivations d</w:t>
      </w:r>
      <w:r w:rsidR="000142AB" w:rsidRPr="000142AB">
        <w:rPr>
          <w:lang w:val="fr-FR"/>
        </w:rPr>
        <w:t>’</w:t>
      </w:r>
      <w:r w:rsidR="00FD044C" w:rsidRPr="000142AB">
        <w:rPr>
          <w:lang w:val="fr-FR"/>
        </w:rPr>
        <w:t>ordre social</w:t>
      </w:r>
      <w:r w:rsidR="00F373C3" w:rsidRPr="000142AB">
        <w:rPr>
          <w:lang w:val="fr-FR"/>
        </w:rPr>
        <w:t xml:space="preserve"> </w:t>
      </w:r>
      <w:r w:rsidR="00FF0A10" w:rsidRPr="000142AB">
        <w:rPr>
          <w:lang w:val="fr-FR"/>
        </w:rPr>
        <w:t>et</w:t>
      </w:r>
      <w:r w:rsidR="00F373C3" w:rsidRPr="000142AB">
        <w:rPr>
          <w:lang w:val="fr-FR"/>
        </w:rPr>
        <w:t xml:space="preserve"> </w:t>
      </w:r>
      <w:r w:rsidR="00A948BE" w:rsidRPr="000142AB">
        <w:rPr>
          <w:lang w:val="fr-FR"/>
        </w:rPr>
        <w:t xml:space="preserve">les craintes </w:t>
      </w:r>
      <w:r w:rsidR="005F4B70" w:rsidRPr="000142AB">
        <w:rPr>
          <w:lang w:val="fr-FR"/>
        </w:rPr>
        <w:t>relatives au risque de</w:t>
      </w:r>
      <w:r w:rsidR="00A948BE" w:rsidRPr="000142AB">
        <w:rPr>
          <w:lang w:val="fr-FR"/>
        </w:rPr>
        <w:t xml:space="preserve"> troubles à l</w:t>
      </w:r>
      <w:r w:rsidR="000142AB" w:rsidRPr="000142AB">
        <w:rPr>
          <w:lang w:val="fr-FR"/>
        </w:rPr>
        <w:t>’</w:t>
      </w:r>
      <w:r w:rsidR="00A948BE" w:rsidRPr="000142AB">
        <w:rPr>
          <w:lang w:val="fr-FR"/>
        </w:rPr>
        <w:t>ordre public</w:t>
      </w:r>
      <w:r w:rsidR="0078683F" w:rsidRPr="000142AB">
        <w:rPr>
          <w:lang w:val="fr-FR"/>
        </w:rPr>
        <w:t xml:space="preserve"> </w:t>
      </w:r>
      <w:r w:rsidR="00FD044C" w:rsidRPr="000142AB">
        <w:rPr>
          <w:lang w:val="fr-FR"/>
        </w:rPr>
        <w:t>pouv</w:t>
      </w:r>
      <w:r w:rsidR="00F85095" w:rsidRPr="000142AB">
        <w:rPr>
          <w:lang w:val="fr-FR"/>
        </w:rPr>
        <w:t xml:space="preserve">aient justifier </w:t>
      </w:r>
      <w:r w:rsidR="00F373C3" w:rsidRPr="000142AB">
        <w:rPr>
          <w:lang w:val="fr-FR"/>
        </w:rPr>
        <w:t>en l</w:t>
      </w:r>
      <w:r w:rsidR="000142AB" w:rsidRPr="000142AB">
        <w:rPr>
          <w:lang w:val="fr-FR"/>
        </w:rPr>
        <w:t>’</w:t>
      </w:r>
      <w:r w:rsidR="00F373C3" w:rsidRPr="000142AB">
        <w:rPr>
          <w:lang w:val="fr-FR"/>
        </w:rPr>
        <w:t xml:space="preserve">espèce </w:t>
      </w:r>
      <w:r w:rsidR="00F85095" w:rsidRPr="000142AB">
        <w:rPr>
          <w:lang w:val="fr-FR"/>
        </w:rPr>
        <w:t xml:space="preserve">des difficultés </w:t>
      </w:r>
      <w:r w:rsidR="00E97B2C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F85095" w:rsidRPr="000142AB">
        <w:rPr>
          <w:lang w:val="fr-FR"/>
        </w:rPr>
        <w:t xml:space="preserve">exécution et un retard dans la libération </w:t>
      </w:r>
      <w:r w:rsidR="007F7873" w:rsidRPr="000142AB">
        <w:rPr>
          <w:lang w:val="fr-FR"/>
        </w:rPr>
        <w:t>des lieux</w:t>
      </w:r>
      <w:r w:rsidR="00F85095" w:rsidRPr="000142AB">
        <w:rPr>
          <w:lang w:val="fr-FR"/>
        </w:rPr>
        <w:t xml:space="preserve">, elle estime </w:t>
      </w:r>
      <w:r w:rsidR="00E97B2C" w:rsidRPr="000142AB">
        <w:rPr>
          <w:lang w:val="fr-FR"/>
        </w:rPr>
        <w:t xml:space="preserve">toutefois </w:t>
      </w:r>
      <w:r w:rsidR="00F85095" w:rsidRPr="000142AB">
        <w:rPr>
          <w:lang w:val="fr-FR"/>
        </w:rPr>
        <w:t>injustifiée l</w:t>
      </w:r>
      <w:r w:rsidR="000142AB" w:rsidRPr="000142AB">
        <w:rPr>
          <w:lang w:val="fr-FR"/>
        </w:rPr>
        <w:t>’</w:t>
      </w:r>
      <w:r w:rsidR="00F85095" w:rsidRPr="000142AB">
        <w:rPr>
          <w:lang w:val="fr-FR"/>
        </w:rPr>
        <w:t>inaction totale et prolongée des autorités</w:t>
      </w:r>
      <w:r w:rsidR="00EB2716" w:rsidRPr="000142AB">
        <w:rPr>
          <w:lang w:val="fr-FR"/>
        </w:rPr>
        <w:t xml:space="preserve"> </w:t>
      </w:r>
      <w:r w:rsidR="00E97B2C" w:rsidRPr="000142AB">
        <w:rPr>
          <w:lang w:val="fr-FR"/>
        </w:rPr>
        <w:t xml:space="preserve">italiennes </w:t>
      </w:r>
      <w:r w:rsidR="00EB2716" w:rsidRPr="000142AB">
        <w:rPr>
          <w:lang w:val="fr-FR"/>
        </w:rPr>
        <w:t>en l</w:t>
      </w:r>
      <w:r w:rsidR="000142AB" w:rsidRPr="000142AB">
        <w:rPr>
          <w:lang w:val="fr-FR"/>
        </w:rPr>
        <w:t>’</w:t>
      </w:r>
      <w:r w:rsidR="00EB2716" w:rsidRPr="000142AB">
        <w:rPr>
          <w:lang w:val="fr-FR"/>
        </w:rPr>
        <w:t>espèce.</w:t>
      </w:r>
      <w:r w:rsidR="00F85095" w:rsidRPr="000142AB">
        <w:rPr>
          <w:lang w:val="fr-FR"/>
        </w:rPr>
        <w:t xml:space="preserve"> </w:t>
      </w:r>
      <w:r w:rsidR="00E97B2C" w:rsidRPr="000142AB">
        <w:rPr>
          <w:lang w:val="fr-FR"/>
        </w:rPr>
        <w:t>P</w:t>
      </w:r>
      <w:r w:rsidR="00EB2716" w:rsidRPr="000142AB">
        <w:rPr>
          <w:lang w:val="fr-FR"/>
        </w:rPr>
        <w:t>ar ailleurs</w:t>
      </w:r>
      <w:r w:rsidR="00E97B2C" w:rsidRPr="000142AB">
        <w:rPr>
          <w:lang w:val="fr-FR"/>
        </w:rPr>
        <w:t>,</w:t>
      </w:r>
      <w:r w:rsidR="007F7873" w:rsidRPr="000142AB">
        <w:rPr>
          <w:lang w:val="fr-FR"/>
        </w:rPr>
        <w:t xml:space="preserve"> il convient de rappeler qu</w:t>
      </w:r>
      <w:r w:rsidR="000142AB" w:rsidRPr="000142AB">
        <w:rPr>
          <w:lang w:val="fr-FR"/>
        </w:rPr>
        <w:t>’</w:t>
      </w:r>
      <w:r w:rsidR="007F7873" w:rsidRPr="000142AB">
        <w:rPr>
          <w:lang w:val="fr-FR"/>
        </w:rPr>
        <w:t>u</w:t>
      </w:r>
      <w:r w:rsidR="00E97B2C" w:rsidRPr="000142AB">
        <w:rPr>
          <w:lang w:val="fr-FR"/>
        </w:rPr>
        <w:t>n</w:t>
      </w:r>
      <w:r w:rsidR="00EB2716" w:rsidRPr="000142AB">
        <w:rPr>
          <w:lang w:val="fr-FR"/>
        </w:rPr>
        <w:t xml:space="preserve"> manque de ressources ne saurait constituer </w:t>
      </w:r>
      <w:r w:rsidR="007F7873" w:rsidRPr="000142AB">
        <w:rPr>
          <w:lang w:val="fr-FR"/>
        </w:rPr>
        <w:t xml:space="preserve">en soi </w:t>
      </w:r>
      <w:r w:rsidR="00EB2716" w:rsidRPr="000142AB">
        <w:rPr>
          <w:lang w:val="fr-FR"/>
        </w:rPr>
        <w:t>une justification acceptable pour l</w:t>
      </w:r>
      <w:r w:rsidR="000142AB" w:rsidRPr="000142AB">
        <w:rPr>
          <w:lang w:val="fr-FR"/>
        </w:rPr>
        <w:t>’</w:t>
      </w:r>
      <w:r w:rsidR="00EB2716" w:rsidRPr="000142AB">
        <w:rPr>
          <w:lang w:val="fr-FR"/>
        </w:rPr>
        <w:t>inexécution d</w:t>
      </w:r>
      <w:r w:rsidR="000142AB" w:rsidRPr="000142AB">
        <w:rPr>
          <w:lang w:val="fr-FR"/>
        </w:rPr>
        <w:t>’</w:t>
      </w:r>
      <w:r w:rsidR="00EB2716" w:rsidRPr="000142AB">
        <w:rPr>
          <w:lang w:val="fr-FR"/>
        </w:rPr>
        <w:t>une décision de justice (</w:t>
      </w:r>
      <w:r w:rsidR="005F4B70" w:rsidRPr="000142AB">
        <w:rPr>
          <w:lang w:val="fr-FR"/>
        </w:rPr>
        <w:t xml:space="preserve">voir, </w:t>
      </w:r>
      <w:r w:rsidR="00EB2716" w:rsidRPr="000142AB">
        <w:rPr>
          <w:i/>
          <w:lang w:val="fr-FR"/>
        </w:rPr>
        <w:t>mutatis mutandis</w:t>
      </w:r>
      <w:r w:rsidR="00EB2716" w:rsidRPr="000142AB">
        <w:rPr>
          <w:lang w:val="fr-FR"/>
        </w:rPr>
        <w:t>,</w:t>
      </w:r>
      <w:r w:rsidR="00F85095" w:rsidRPr="000142AB">
        <w:rPr>
          <w:lang w:val="fr-FR"/>
        </w:rPr>
        <w:t xml:space="preserve"> </w:t>
      </w:r>
      <w:r w:rsidR="00EB2716" w:rsidRPr="000142AB">
        <w:rPr>
          <w:i/>
          <w:lang w:val="fr-FR"/>
        </w:rPr>
        <w:t>Bourdov c. Russie</w:t>
      </w:r>
      <w:r w:rsidR="00EB2716" w:rsidRPr="000142AB">
        <w:rPr>
          <w:lang w:val="fr-FR"/>
        </w:rPr>
        <w:t>, n</w:t>
      </w:r>
      <w:r w:rsidR="0075652F" w:rsidRPr="000142AB">
        <w:rPr>
          <w:vertAlign w:val="superscript"/>
          <w:lang w:val="fr-FR"/>
        </w:rPr>
        <w:t>o</w:t>
      </w:r>
      <w:r w:rsidR="00E162C7" w:rsidRPr="000142AB">
        <w:rPr>
          <w:lang w:val="fr-FR"/>
        </w:rPr>
        <w:t xml:space="preserve"> 59498/00, § 35, CEDH 2002-III</w:t>
      </w:r>
      <w:r w:rsidR="005F4B70" w:rsidRPr="000142AB">
        <w:rPr>
          <w:lang w:val="fr-FR"/>
        </w:rPr>
        <w:t>,</w:t>
      </w:r>
      <w:r w:rsidR="00E162C7" w:rsidRPr="000142AB">
        <w:rPr>
          <w:lang w:val="fr-FR"/>
        </w:rPr>
        <w:t xml:space="preserve"> et</w:t>
      </w:r>
      <w:r w:rsidR="00EB2716" w:rsidRPr="000142AB">
        <w:rPr>
          <w:lang w:val="fr-FR"/>
        </w:rPr>
        <w:t xml:space="preserve"> </w:t>
      </w:r>
      <w:r w:rsidR="00EB2716" w:rsidRPr="000142AB">
        <w:rPr>
          <w:i/>
          <w:lang w:val="fr-FR"/>
        </w:rPr>
        <w:t>Cocchiarella c. Italie</w:t>
      </w:r>
      <w:r w:rsidR="00EB2716" w:rsidRPr="000142AB">
        <w:rPr>
          <w:lang w:val="fr-FR"/>
        </w:rPr>
        <w:t xml:space="preserve"> [GC], n</w:t>
      </w:r>
      <w:r w:rsidR="0075652F" w:rsidRPr="000142AB">
        <w:rPr>
          <w:vertAlign w:val="superscript"/>
          <w:lang w:val="fr-FR"/>
        </w:rPr>
        <w:t>o</w:t>
      </w:r>
      <w:r w:rsidR="00D402A4" w:rsidRPr="000142AB">
        <w:rPr>
          <w:lang w:val="fr-FR"/>
        </w:rPr>
        <w:t> </w:t>
      </w:r>
      <w:r w:rsidR="00EB2716" w:rsidRPr="000142AB">
        <w:rPr>
          <w:lang w:val="fr-FR"/>
        </w:rPr>
        <w:t>64886/01, § 90, CEDH 2006</w:t>
      </w:r>
      <w:r w:rsidR="005F4B70" w:rsidRPr="000142AB">
        <w:rPr>
          <w:lang w:val="fr-FR"/>
        </w:rPr>
        <w:t>-</w:t>
      </w:r>
      <w:r w:rsidR="00EB2716" w:rsidRPr="000142AB">
        <w:rPr>
          <w:lang w:val="fr-FR"/>
        </w:rPr>
        <w:t>V)</w:t>
      </w:r>
      <w:r w:rsidR="00DE4E87" w:rsidRPr="000142AB">
        <w:rPr>
          <w:lang w:val="fr-FR"/>
        </w:rPr>
        <w:t xml:space="preserve">, </w:t>
      </w:r>
      <w:r w:rsidR="00F57EA1" w:rsidRPr="000142AB">
        <w:rPr>
          <w:lang w:val="fr-FR"/>
        </w:rPr>
        <w:t>non plus que</w:t>
      </w:r>
      <w:r w:rsidR="00DE4E87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DE4E87" w:rsidRPr="000142AB">
        <w:rPr>
          <w:lang w:val="fr-FR"/>
        </w:rPr>
        <w:t>absence de logements de substitution (</w:t>
      </w:r>
      <w:r w:rsidR="00DE4E87" w:rsidRPr="000142AB">
        <w:rPr>
          <w:i/>
          <w:lang w:val="pt-PT"/>
        </w:rPr>
        <w:t>Prodan c.</w:t>
      </w:r>
      <w:r w:rsidR="00EB0AB4" w:rsidRPr="000142AB">
        <w:rPr>
          <w:i/>
          <w:lang w:val="pt-PT"/>
        </w:rPr>
        <w:t> </w:t>
      </w:r>
      <w:r w:rsidR="00DE4E87" w:rsidRPr="000142AB">
        <w:rPr>
          <w:i/>
          <w:lang w:val="pt-PT"/>
        </w:rPr>
        <w:t>Moldova</w:t>
      </w:r>
      <w:r w:rsidR="00DE4E87" w:rsidRPr="000142AB">
        <w:rPr>
          <w:lang w:val="pt-PT"/>
        </w:rPr>
        <w:t>, n</w:t>
      </w:r>
      <w:r w:rsidR="00DE4E87" w:rsidRPr="000142AB">
        <w:rPr>
          <w:vertAlign w:val="superscript"/>
          <w:lang w:val="pt-PT"/>
        </w:rPr>
        <w:t>o</w:t>
      </w:r>
      <w:r w:rsidR="00EB0AB4" w:rsidRPr="000142AB">
        <w:rPr>
          <w:vertAlign w:val="superscript"/>
          <w:lang w:val="pt-PT"/>
        </w:rPr>
        <w:t> </w:t>
      </w:r>
      <w:r w:rsidR="00DE4E87" w:rsidRPr="000142AB">
        <w:rPr>
          <w:lang w:val="pt-PT"/>
        </w:rPr>
        <w:t>49806/99, § 53, CEDH 2004</w:t>
      </w:r>
      <w:r w:rsidR="00DE4E87" w:rsidRPr="000142AB">
        <w:rPr>
          <w:lang w:val="pt-PT"/>
        </w:rPr>
        <w:noBreakHyphen/>
        <w:t>III (extraits)</w:t>
      </w:r>
      <w:r w:rsidR="005F4B70" w:rsidRPr="000142AB">
        <w:rPr>
          <w:lang w:val="pt-PT"/>
        </w:rPr>
        <w:t>)</w:t>
      </w:r>
      <w:r w:rsidR="00EB2716" w:rsidRPr="000142AB">
        <w:rPr>
          <w:lang w:val="fr-FR"/>
        </w:rPr>
        <w:t>.</w:t>
      </w:r>
    </w:p>
    <w:p w:rsidR="006030E2" w:rsidRPr="000142AB" w:rsidRDefault="00697443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54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B23A68" w:rsidRPr="000142AB">
        <w:rPr>
          <w:lang w:val="fr-FR"/>
        </w:rPr>
        <w:t>La Cour est d</w:t>
      </w:r>
      <w:r w:rsidR="000142AB" w:rsidRPr="000142AB">
        <w:rPr>
          <w:lang w:val="fr-FR"/>
        </w:rPr>
        <w:t>’</w:t>
      </w:r>
      <w:r w:rsidR="00B23A68" w:rsidRPr="000142AB">
        <w:rPr>
          <w:lang w:val="fr-FR"/>
        </w:rPr>
        <w:t>avis qu</w:t>
      </w:r>
      <w:r w:rsidR="006608EE" w:rsidRPr="000142AB">
        <w:rPr>
          <w:lang w:val="fr-FR"/>
        </w:rPr>
        <w:t xml:space="preserve">e, </w:t>
      </w:r>
      <w:r w:rsidR="00B23A68" w:rsidRPr="000142AB">
        <w:rPr>
          <w:lang w:val="fr-FR"/>
        </w:rPr>
        <w:t>e</w:t>
      </w:r>
      <w:r w:rsidR="006030E2" w:rsidRPr="000142AB">
        <w:rPr>
          <w:lang w:val="fr-FR"/>
        </w:rPr>
        <w:t>n s</w:t>
      </w:r>
      <w:r w:rsidR="000142AB" w:rsidRPr="000142AB">
        <w:rPr>
          <w:lang w:val="fr-FR"/>
        </w:rPr>
        <w:t>’</w:t>
      </w:r>
      <w:r w:rsidR="006030E2" w:rsidRPr="000142AB">
        <w:rPr>
          <w:lang w:val="fr-FR"/>
        </w:rPr>
        <w:t xml:space="preserve">abstenant, pendant plus de </w:t>
      </w:r>
      <w:r w:rsidR="00543C39" w:rsidRPr="000142AB">
        <w:rPr>
          <w:lang w:val="fr-FR"/>
        </w:rPr>
        <w:t>cinq</w:t>
      </w:r>
      <w:r w:rsidR="00336ACE" w:rsidRPr="000142AB">
        <w:rPr>
          <w:lang w:val="fr-FR"/>
        </w:rPr>
        <w:t xml:space="preserve"> </w:t>
      </w:r>
      <w:r w:rsidR="006030E2" w:rsidRPr="000142AB">
        <w:rPr>
          <w:lang w:val="fr-FR"/>
        </w:rPr>
        <w:t xml:space="preserve">années, de prendre </w:t>
      </w:r>
      <w:r w:rsidR="00B23A68" w:rsidRPr="000142AB">
        <w:rPr>
          <w:lang w:val="fr-FR"/>
        </w:rPr>
        <w:t xml:space="preserve">toute </w:t>
      </w:r>
      <w:r w:rsidR="00A40764" w:rsidRPr="000142AB">
        <w:rPr>
          <w:lang w:val="fr-FR"/>
        </w:rPr>
        <w:t xml:space="preserve">mesure </w:t>
      </w:r>
      <w:r w:rsidR="006030E2" w:rsidRPr="000142AB">
        <w:rPr>
          <w:lang w:val="fr-FR"/>
        </w:rPr>
        <w:t>nécessaire pour se conformer à une décision judiciaire</w:t>
      </w:r>
      <w:r w:rsidR="00330E96" w:rsidRPr="000142AB">
        <w:rPr>
          <w:lang w:val="fr-FR"/>
        </w:rPr>
        <w:t xml:space="preserve"> définitive et exécutoire</w:t>
      </w:r>
      <w:r w:rsidR="006030E2" w:rsidRPr="000142AB">
        <w:rPr>
          <w:lang w:val="fr-FR"/>
        </w:rPr>
        <w:t>, les autorités nationales ont privé, en l</w:t>
      </w:r>
      <w:r w:rsidR="000142AB" w:rsidRPr="000142AB">
        <w:rPr>
          <w:lang w:val="fr-FR"/>
        </w:rPr>
        <w:t>’</w:t>
      </w:r>
      <w:r w:rsidR="006030E2" w:rsidRPr="000142AB">
        <w:rPr>
          <w:lang w:val="fr-FR"/>
        </w:rPr>
        <w:t>occurrence, les dispositions de l</w:t>
      </w:r>
      <w:r w:rsidR="000142AB" w:rsidRPr="000142AB">
        <w:rPr>
          <w:lang w:val="fr-FR"/>
        </w:rPr>
        <w:t>’</w:t>
      </w:r>
      <w:r w:rsidR="006030E2" w:rsidRPr="000142AB">
        <w:rPr>
          <w:lang w:val="fr-FR"/>
        </w:rPr>
        <w:t>article 6 § 1 de la Convention de tout effet utile</w:t>
      </w:r>
      <w:r w:rsidR="00A12368" w:rsidRPr="000142AB">
        <w:rPr>
          <w:lang w:val="fr-FR"/>
        </w:rPr>
        <w:t xml:space="preserve"> et </w:t>
      </w:r>
      <w:r w:rsidR="00F57EA1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F57EA1" w:rsidRPr="000142AB">
        <w:rPr>
          <w:lang w:val="fr-FR"/>
        </w:rPr>
        <w:t xml:space="preserve">elles </w:t>
      </w:r>
      <w:r w:rsidR="00A12368" w:rsidRPr="000142AB">
        <w:rPr>
          <w:lang w:val="fr-FR"/>
        </w:rPr>
        <w:t>ont porté atteinte à l</w:t>
      </w:r>
      <w:r w:rsidR="000142AB" w:rsidRPr="000142AB">
        <w:rPr>
          <w:lang w:val="fr-FR"/>
        </w:rPr>
        <w:t>’</w:t>
      </w:r>
      <w:r w:rsidR="005F4B70" w:rsidRPr="000142AB">
        <w:rPr>
          <w:rFonts w:cstheme="minorHAnsi"/>
          <w:lang w:val="fr-FR"/>
        </w:rPr>
        <w:t>É</w:t>
      </w:r>
      <w:r w:rsidR="00A12368" w:rsidRPr="000142AB">
        <w:rPr>
          <w:lang w:val="fr-FR"/>
        </w:rPr>
        <w:t>tat de droit, fondé sur la prééminence du droit et la sécurité des rapports juridiques.</w:t>
      </w:r>
      <w:r w:rsidR="00C34805" w:rsidRPr="000142AB">
        <w:rPr>
          <w:lang w:val="fr-FR"/>
        </w:rPr>
        <w:t xml:space="preserve"> Partant, il y a eu violation de cette disposition.</w:t>
      </w:r>
    </w:p>
    <w:p w:rsidR="00AE7F32" w:rsidRPr="000142AB" w:rsidRDefault="00AE7F32" w:rsidP="000142AB">
      <w:pPr>
        <w:pStyle w:val="ECHRHeading4"/>
        <w:rPr>
          <w:lang w:val="fr-FR"/>
        </w:rPr>
      </w:pPr>
      <w:r w:rsidRPr="000142AB">
        <w:rPr>
          <w:lang w:val="fr-FR"/>
        </w:rPr>
        <w:t>b)</w:t>
      </w:r>
      <w:r w:rsidR="005F4B70" w:rsidRPr="000142AB">
        <w:rPr>
          <w:lang w:val="fr-FR"/>
        </w:rPr>
        <w:t>  </w:t>
      </w:r>
      <w:r w:rsidR="007D74E2" w:rsidRPr="000142AB">
        <w:rPr>
          <w:lang w:val="fr-FR"/>
        </w:rPr>
        <w:t>Sur la violation de l</w:t>
      </w:r>
      <w:r w:rsidR="000142AB" w:rsidRPr="000142AB">
        <w:rPr>
          <w:lang w:val="fr-FR"/>
        </w:rPr>
        <w:t>’</w:t>
      </w:r>
      <w:r w:rsidR="007D74E2" w:rsidRPr="000142AB">
        <w:rPr>
          <w:lang w:val="fr-FR"/>
        </w:rPr>
        <w:t>article 1 du Protocole n</w:t>
      </w:r>
      <w:r w:rsidR="0075652F" w:rsidRPr="000142AB">
        <w:rPr>
          <w:vertAlign w:val="superscript"/>
          <w:lang w:val="fr-FR"/>
        </w:rPr>
        <w:t>o</w:t>
      </w:r>
      <w:r w:rsidR="007D74E2" w:rsidRPr="000142AB">
        <w:rPr>
          <w:lang w:val="fr-FR"/>
        </w:rPr>
        <w:t xml:space="preserve"> 1</w:t>
      </w:r>
      <w:r w:rsidR="005F4B70" w:rsidRPr="000142AB">
        <w:rPr>
          <w:lang w:val="fr-FR"/>
        </w:rPr>
        <w:t xml:space="preserve"> à la Convention</w:t>
      </w:r>
    </w:p>
    <w:p w:rsidR="00E40368" w:rsidRPr="000142AB" w:rsidRDefault="00E40368" w:rsidP="000142AB">
      <w:pPr>
        <w:pStyle w:val="ECHRPara"/>
        <w:rPr>
          <w:lang w:val="pt-PT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55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La Cour considère </w:t>
      </w:r>
      <w:r w:rsidR="006608EE" w:rsidRPr="000142AB">
        <w:rPr>
          <w:lang w:val="fr-FR"/>
        </w:rPr>
        <w:t>en l</w:t>
      </w:r>
      <w:r w:rsidR="000142AB" w:rsidRPr="000142AB">
        <w:rPr>
          <w:lang w:val="fr-FR"/>
        </w:rPr>
        <w:t>’</w:t>
      </w:r>
      <w:r w:rsidR="006608EE" w:rsidRPr="000142AB">
        <w:rPr>
          <w:lang w:val="fr-FR"/>
        </w:rPr>
        <w:t xml:space="preserve">espèce </w:t>
      </w:r>
      <w:r w:rsidRPr="000142AB">
        <w:rPr>
          <w:lang w:val="fr-FR"/>
        </w:rPr>
        <w:t xml:space="preserve">que, </w:t>
      </w:r>
      <w:r w:rsidR="00E74A8E" w:rsidRPr="000142AB">
        <w:rPr>
          <w:lang w:val="fr-FR"/>
        </w:rPr>
        <w:t>à l</w:t>
      </w:r>
      <w:r w:rsidR="000142AB" w:rsidRPr="000142AB">
        <w:rPr>
          <w:lang w:val="fr-FR"/>
        </w:rPr>
        <w:t>’</w:t>
      </w:r>
      <w:r w:rsidR="00E74A8E" w:rsidRPr="000142AB">
        <w:rPr>
          <w:lang w:val="fr-FR"/>
        </w:rPr>
        <w:t>instar de</w:t>
      </w:r>
      <w:r w:rsidRPr="000142AB">
        <w:rPr>
          <w:lang w:val="fr-FR"/>
        </w:rPr>
        <w:t xml:space="preserve"> </w:t>
      </w:r>
      <w:r w:rsidR="006608EE" w:rsidRPr="000142AB">
        <w:rPr>
          <w:lang w:val="fr-FR"/>
        </w:rPr>
        <w:t>ce qu</w:t>
      </w:r>
      <w:r w:rsidR="000142AB" w:rsidRPr="000142AB">
        <w:rPr>
          <w:lang w:val="fr-FR"/>
        </w:rPr>
        <w:t>’</w:t>
      </w:r>
      <w:r w:rsidR="006608EE" w:rsidRPr="000142AB">
        <w:rPr>
          <w:lang w:val="fr-FR"/>
        </w:rPr>
        <w:t xml:space="preserve">elle a constaté dans </w:t>
      </w:r>
      <w:r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</w:t>
      </w:r>
      <w:r w:rsidR="006608EE" w:rsidRPr="000142AB">
        <w:rPr>
          <w:lang w:val="fr-FR"/>
        </w:rPr>
        <w:t>rrêt</w:t>
      </w:r>
      <w:r w:rsidRPr="000142AB">
        <w:rPr>
          <w:lang w:val="fr-FR"/>
        </w:rPr>
        <w:t xml:space="preserve"> </w:t>
      </w:r>
      <w:r w:rsidR="00F003E9" w:rsidRPr="000142AB">
        <w:rPr>
          <w:i/>
          <w:lang w:val="pt-PT"/>
        </w:rPr>
        <w:t>Matheus</w:t>
      </w:r>
      <w:r w:rsidR="00F003E9" w:rsidRPr="000142AB">
        <w:rPr>
          <w:lang w:val="pt-PT"/>
        </w:rPr>
        <w:t xml:space="preserve"> </w:t>
      </w:r>
      <w:r w:rsidR="005F4B70" w:rsidRPr="000142AB">
        <w:rPr>
          <w:lang w:val="pt-PT"/>
        </w:rPr>
        <w:t>(</w:t>
      </w:r>
      <w:r w:rsidR="00DC2EDB" w:rsidRPr="000142AB">
        <w:rPr>
          <w:lang w:val="pt-PT"/>
        </w:rPr>
        <w:t>précité</w:t>
      </w:r>
      <w:r w:rsidR="005F4B70" w:rsidRPr="000142AB">
        <w:rPr>
          <w:lang w:val="pt-PT"/>
        </w:rPr>
        <w:t>)</w:t>
      </w:r>
      <w:r w:rsidR="00F003E9" w:rsidRPr="000142AB">
        <w:rPr>
          <w:lang w:val="fr-FR"/>
        </w:rPr>
        <w:t xml:space="preserve"> et à la</w:t>
      </w:r>
      <w:r w:rsidRPr="000142AB">
        <w:rPr>
          <w:lang w:val="fr-FR"/>
        </w:rPr>
        <w:t xml:space="preserve"> différence de </w:t>
      </w:r>
      <w:r w:rsidR="006608EE" w:rsidRPr="000142AB">
        <w:rPr>
          <w:lang w:val="fr-FR"/>
        </w:rPr>
        <w:t>ce qu</w:t>
      </w:r>
      <w:r w:rsidR="000142AB" w:rsidRPr="000142AB">
        <w:rPr>
          <w:lang w:val="fr-FR"/>
        </w:rPr>
        <w:t>’</w:t>
      </w:r>
      <w:r w:rsidR="006608EE" w:rsidRPr="000142AB">
        <w:rPr>
          <w:lang w:val="fr-FR"/>
        </w:rPr>
        <w:t>elle a conclu dans l</w:t>
      </w:r>
      <w:r w:rsidR="000142AB" w:rsidRPr="000142AB">
        <w:rPr>
          <w:lang w:val="fr-FR"/>
        </w:rPr>
        <w:t>’</w:t>
      </w:r>
      <w:r w:rsidR="006608EE" w:rsidRPr="000142AB">
        <w:rPr>
          <w:lang w:val="fr-FR"/>
        </w:rPr>
        <w:t>arrêt</w:t>
      </w:r>
      <w:r w:rsidRPr="000142AB">
        <w:rPr>
          <w:lang w:val="fr-FR"/>
        </w:rPr>
        <w:t xml:space="preserve"> </w:t>
      </w:r>
      <w:r w:rsidR="00F003E9" w:rsidRPr="000142AB">
        <w:rPr>
          <w:i/>
          <w:lang w:val="fr-FR"/>
        </w:rPr>
        <w:t>Immobiliare Saffi</w:t>
      </w:r>
      <w:r w:rsidR="00F003E9" w:rsidRPr="000142AB">
        <w:rPr>
          <w:lang w:val="fr-FR"/>
        </w:rPr>
        <w:t xml:space="preserve"> (précité</w:t>
      </w:r>
      <w:r w:rsidRPr="000142AB">
        <w:rPr>
          <w:lang w:val="fr-FR"/>
        </w:rPr>
        <w:t xml:space="preserve">, </w:t>
      </w:r>
      <w:r w:rsidR="00F003E9" w:rsidRPr="000142AB">
        <w:rPr>
          <w:lang w:val="fr-FR"/>
        </w:rPr>
        <w:t xml:space="preserve">§ 46), </w:t>
      </w:r>
      <w:r w:rsidRPr="000142AB">
        <w:rPr>
          <w:lang w:val="fr-FR"/>
        </w:rPr>
        <w:t xml:space="preserve">le refus des autorités de </w:t>
      </w:r>
      <w:r w:rsidR="006608EE" w:rsidRPr="000142AB">
        <w:rPr>
          <w:lang w:val="fr-FR"/>
        </w:rPr>
        <w:t>procéder à l</w:t>
      </w:r>
      <w:r w:rsidR="000142AB" w:rsidRPr="000142AB">
        <w:rPr>
          <w:lang w:val="fr-FR"/>
        </w:rPr>
        <w:t>’</w:t>
      </w:r>
      <w:r w:rsidR="006608EE" w:rsidRPr="000142AB">
        <w:rPr>
          <w:lang w:val="fr-FR"/>
        </w:rPr>
        <w:t xml:space="preserve">évacuation de </w:t>
      </w:r>
      <w:r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immeuble de la requérante ne s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analyse pas en une mesure de réglementation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usage des biens au sens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1 du Protocole n</w:t>
      </w:r>
      <w:r w:rsidR="0075652F" w:rsidRPr="000142AB">
        <w:rPr>
          <w:vertAlign w:val="superscript"/>
          <w:lang w:val="fr-FR"/>
        </w:rPr>
        <w:t>o</w:t>
      </w:r>
      <w:r w:rsidR="00EB0AB4" w:rsidRPr="000142AB">
        <w:rPr>
          <w:vertAlign w:val="superscript"/>
          <w:lang w:val="fr-FR"/>
        </w:rPr>
        <w:t> </w:t>
      </w:r>
      <w:r w:rsidRPr="000142AB">
        <w:rPr>
          <w:lang w:val="fr-FR"/>
        </w:rPr>
        <w:t xml:space="preserve">1. </w:t>
      </w:r>
      <w:r w:rsidR="006608EE" w:rsidRPr="000142AB">
        <w:rPr>
          <w:lang w:val="fr-FR"/>
        </w:rPr>
        <w:t>Dans la présente affaire</w:t>
      </w:r>
      <w:r w:rsidRPr="000142AB">
        <w:rPr>
          <w:lang w:val="fr-FR"/>
        </w:rPr>
        <w:t xml:space="preserve">, et bien que la question du relogement des occupants ait été prise en compte, le refus de procéder à </w:t>
      </w:r>
      <w:r w:rsidR="00C60A12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expulsion </w:t>
      </w:r>
      <w:r w:rsidR="00C60A12" w:rsidRPr="000142AB">
        <w:rPr>
          <w:lang w:val="fr-FR"/>
        </w:rPr>
        <w:t xml:space="preserve">de ces occupants </w:t>
      </w:r>
      <w:r w:rsidRPr="000142AB">
        <w:rPr>
          <w:lang w:val="fr-FR"/>
        </w:rPr>
        <w:t>ne découle pas directement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application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une loi relevant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une politique sociale et économique dans le domaine, par exemple, du logement ou d</w:t>
      </w:r>
      <w:r w:rsidR="00C60A12" w:rsidRPr="000142AB">
        <w:rPr>
          <w:lang w:val="fr-FR"/>
        </w:rPr>
        <w:t>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accompagnement social de locataires en difficulté</w:t>
      </w:r>
      <w:r w:rsidR="00C60A12" w:rsidRPr="000142AB">
        <w:rPr>
          <w:lang w:val="fr-FR"/>
        </w:rPr>
        <w:t>,</w:t>
      </w:r>
      <w:r w:rsidRPr="000142AB">
        <w:rPr>
          <w:lang w:val="fr-FR"/>
        </w:rPr>
        <w:t xml:space="preserve"> mais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un refus des autorités compétentes, dans des circonstances particulières, et pendant plusieurs années, de </w:t>
      </w:r>
      <w:r w:rsidR="00C60A12" w:rsidRPr="000142AB">
        <w:rPr>
          <w:lang w:val="fr-FR"/>
        </w:rPr>
        <w:t>procéder à l</w:t>
      </w:r>
      <w:r w:rsidR="000142AB" w:rsidRPr="000142AB">
        <w:rPr>
          <w:lang w:val="fr-FR"/>
        </w:rPr>
        <w:t>’</w:t>
      </w:r>
      <w:r w:rsidR="00C60A12" w:rsidRPr="000142AB">
        <w:rPr>
          <w:lang w:val="fr-FR"/>
        </w:rPr>
        <w:t>évacuation de</w:t>
      </w:r>
      <w:r w:rsidRPr="000142AB">
        <w:rPr>
          <w:lang w:val="fr-FR"/>
        </w:rPr>
        <w:t xml:space="preserve"> </w:t>
      </w:r>
      <w:r w:rsidR="00C75B57" w:rsidRPr="000142AB">
        <w:rPr>
          <w:lang w:val="fr-FR"/>
        </w:rPr>
        <w:t>la</w:t>
      </w:r>
      <w:r w:rsidRPr="000142AB">
        <w:rPr>
          <w:lang w:val="fr-FR"/>
        </w:rPr>
        <w:t xml:space="preserve"> propriété</w:t>
      </w:r>
      <w:r w:rsidR="00C75B57" w:rsidRPr="000142AB">
        <w:rPr>
          <w:lang w:val="fr-FR"/>
        </w:rPr>
        <w:t xml:space="preserve"> de la </w:t>
      </w:r>
      <w:r w:rsidR="00C75B57" w:rsidRPr="000142AB">
        <w:rPr>
          <w:lang w:val="fr-FR"/>
        </w:rPr>
        <w:lastRenderedPageBreak/>
        <w:t>requérante</w:t>
      </w:r>
      <w:r w:rsidRPr="000142AB">
        <w:rPr>
          <w:lang w:val="fr-FR"/>
        </w:rPr>
        <w:t>. Selon la Cour, le défaut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exécution de la décision du juge des investigatio</w:t>
      </w:r>
      <w:r w:rsidR="00C75B57" w:rsidRPr="000142AB">
        <w:rPr>
          <w:lang w:val="fr-FR"/>
        </w:rPr>
        <w:t>ns préliminaires du 9 août 2013</w:t>
      </w:r>
      <w:r w:rsidRPr="000142AB">
        <w:rPr>
          <w:lang w:val="fr-FR"/>
        </w:rPr>
        <w:t xml:space="preserve"> doit dès lors être examiné à la lumière de la norme générale contenue dans la première phrase du premier alinéa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1 du Protocole n</w:t>
      </w:r>
      <w:r w:rsidR="0075652F" w:rsidRPr="000142AB">
        <w:rPr>
          <w:vertAlign w:val="superscript"/>
          <w:lang w:val="fr-FR"/>
        </w:rPr>
        <w:t>o</w:t>
      </w:r>
      <w:r w:rsidRPr="000142AB">
        <w:rPr>
          <w:lang w:val="fr-FR"/>
        </w:rPr>
        <w:t xml:space="preserve"> 1</w:t>
      </w:r>
      <w:r w:rsidR="00C60A12" w:rsidRPr="000142AB">
        <w:rPr>
          <w:lang w:val="fr-FR"/>
        </w:rPr>
        <w:t xml:space="preserve">, </w:t>
      </w:r>
      <w:r w:rsidRPr="000142AB">
        <w:rPr>
          <w:lang w:val="fr-FR"/>
        </w:rPr>
        <w:t>qui</w:t>
      </w:r>
      <w:r w:rsidR="00C75B57" w:rsidRPr="000142AB">
        <w:rPr>
          <w:lang w:val="fr-FR"/>
        </w:rPr>
        <w:t xml:space="preserve"> énonce le droit au respect de l</w:t>
      </w:r>
      <w:r w:rsidRPr="000142AB">
        <w:rPr>
          <w:lang w:val="fr-FR"/>
        </w:rPr>
        <w:t>a propriété</w:t>
      </w:r>
      <w:r w:rsidR="00D7588D" w:rsidRPr="000142AB">
        <w:rPr>
          <w:lang w:val="fr-FR"/>
        </w:rPr>
        <w:t xml:space="preserve"> (</w:t>
      </w:r>
      <w:r w:rsidR="00C60A12" w:rsidRPr="000142AB">
        <w:rPr>
          <w:lang w:val="fr-FR"/>
        </w:rPr>
        <w:t xml:space="preserve">voir, </w:t>
      </w:r>
      <w:r w:rsidR="00D7588D" w:rsidRPr="000142AB">
        <w:rPr>
          <w:i/>
          <w:lang w:val="fr-FR"/>
        </w:rPr>
        <w:t>mutatis mutandis</w:t>
      </w:r>
      <w:r w:rsidR="00F003E9" w:rsidRPr="000142AB">
        <w:rPr>
          <w:lang w:val="fr-FR"/>
        </w:rPr>
        <w:t>,</w:t>
      </w:r>
      <w:r w:rsidR="00D7588D" w:rsidRPr="000142AB">
        <w:rPr>
          <w:lang w:val="fr-FR"/>
        </w:rPr>
        <w:t xml:space="preserve"> </w:t>
      </w:r>
      <w:r w:rsidR="00D7588D" w:rsidRPr="000142AB">
        <w:rPr>
          <w:i/>
          <w:lang w:val="fr-FR"/>
        </w:rPr>
        <w:t>Matheus</w:t>
      </w:r>
      <w:r w:rsidR="00F003E9" w:rsidRPr="000142AB">
        <w:rPr>
          <w:lang w:val="fr-FR"/>
        </w:rPr>
        <w:t xml:space="preserve">, </w:t>
      </w:r>
      <w:r w:rsidR="006608EE" w:rsidRPr="000142AB">
        <w:rPr>
          <w:lang w:val="fr-FR"/>
        </w:rPr>
        <w:t xml:space="preserve">arrêt </w:t>
      </w:r>
      <w:r w:rsidR="00F003E9" w:rsidRPr="000142AB">
        <w:rPr>
          <w:lang w:val="fr-FR"/>
        </w:rPr>
        <w:t>précité, § 68</w:t>
      </w:r>
      <w:r w:rsidR="00D7588D" w:rsidRPr="000142AB">
        <w:rPr>
          <w:lang w:val="fr-FR"/>
        </w:rPr>
        <w:t>)</w:t>
      </w:r>
      <w:r w:rsidR="00516C19" w:rsidRPr="000142AB">
        <w:rPr>
          <w:lang w:val="fr-FR"/>
        </w:rPr>
        <w:t>.</w:t>
      </w:r>
    </w:p>
    <w:p w:rsidR="00BA31FB" w:rsidRPr="000142AB" w:rsidRDefault="00D07CC4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56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BE12A7" w:rsidRPr="000142AB">
        <w:rPr>
          <w:lang w:val="fr-FR"/>
        </w:rPr>
        <w:t>L</w:t>
      </w:r>
      <w:r w:rsidR="00BA31FB" w:rsidRPr="000142AB">
        <w:rPr>
          <w:lang w:val="fr-FR"/>
        </w:rPr>
        <w:t xml:space="preserve">a Cour rappelle </w:t>
      </w:r>
      <w:r w:rsidR="00BE12A7" w:rsidRPr="000142AB">
        <w:rPr>
          <w:lang w:val="fr-FR"/>
        </w:rPr>
        <w:t xml:space="preserve">en outre </w:t>
      </w:r>
      <w:r w:rsidR="00BA31FB" w:rsidRPr="000142AB">
        <w:rPr>
          <w:lang w:val="fr-FR"/>
        </w:rPr>
        <w:t>que l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exercice réel et efficace du droit que l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 xml:space="preserve">article 1 du Protocole </w:t>
      </w:r>
      <w:r w:rsidR="00D7588D" w:rsidRPr="000142AB">
        <w:rPr>
          <w:lang w:val="fr-FR"/>
        </w:rPr>
        <w:t>n</w:t>
      </w:r>
      <w:r w:rsidR="0075652F" w:rsidRPr="000142AB">
        <w:rPr>
          <w:vertAlign w:val="superscript"/>
          <w:lang w:val="fr-FR"/>
        </w:rPr>
        <w:t>o</w:t>
      </w:r>
      <w:r w:rsidR="00BA31FB" w:rsidRPr="000142AB">
        <w:rPr>
          <w:lang w:val="fr-FR"/>
        </w:rPr>
        <w:t xml:space="preserve"> 1 garantit ne saurait dépendre uniquement du devoir de l</w:t>
      </w:r>
      <w:r w:rsidR="000142AB" w:rsidRPr="000142AB">
        <w:rPr>
          <w:lang w:val="fr-FR"/>
        </w:rPr>
        <w:t>’</w:t>
      </w:r>
      <w:r w:rsidR="00C60A12" w:rsidRPr="000142AB">
        <w:rPr>
          <w:rFonts w:cstheme="minorHAnsi"/>
          <w:lang w:val="fr-FR"/>
        </w:rPr>
        <w:t>É</w:t>
      </w:r>
      <w:r w:rsidR="00BA31FB" w:rsidRPr="000142AB">
        <w:rPr>
          <w:lang w:val="fr-FR"/>
        </w:rPr>
        <w:t>tat de s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 xml:space="preserve">abstenir de toute ingérence et </w:t>
      </w:r>
      <w:r w:rsidR="00C60A12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C60A12" w:rsidRPr="000142AB">
        <w:rPr>
          <w:lang w:val="fr-FR"/>
        </w:rPr>
        <w:t xml:space="preserve">il </w:t>
      </w:r>
      <w:r w:rsidR="00BA31FB" w:rsidRPr="000142AB">
        <w:rPr>
          <w:lang w:val="fr-FR"/>
        </w:rPr>
        <w:t>peut exiger des mesures positives de protection, notamment là où il existe un lien direct entre les mesures qu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un requérant pourrait légitimement attendre des autorités et la jouissance effective par ce dernier de ses biens (</w:t>
      </w:r>
      <w:r w:rsidR="00BA31FB" w:rsidRPr="000142AB">
        <w:rPr>
          <w:i/>
          <w:lang w:val="fr-FR"/>
        </w:rPr>
        <w:t>Öneryildiz c.</w:t>
      </w:r>
      <w:r w:rsidR="00EB0AB4" w:rsidRPr="000142AB">
        <w:rPr>
          <w:i/>
          <w:lang w:val="fr-FR"/>
        </w:rPr>
        <w:t> </w:t>
      </w:r>
      <w:r w:rsidR="00BA31FB" w:rsidRPr="000142AB">
        <w:rPr>
          <w:i/>
          <w:lang w:val="fr-FR"/>
        </w:rPr>
        <w:t>Turquie</w:t>
      </w:r>
      <w:r w:rsidR="00BA31FB" w:rsidRPr="000142AB">
        <w:rPr>
          <w:lang w:val="fr-FR"/>
        </w:rPr>
        <w:t xml:space="preserve"> [GC], n</w:t>
      </w:r>
      <w:r w:rsidR="0075652F" w:rsidRPr="000142AB">
        <w:rPr>
          <w:vertAlign w:val="superscript"/>
          <w:lang w:val="fr-FR"/>
        </w:rPr>
        <w:t>o</w:t>
      </w:r>
      <w:r w:rsidR="00BA31FB" w:rsidRPr="000142AB">
        <w:rPr>
          <w:lang w:val="fr-FR"/>
        </w:rPr>
        <w:t xml:space="preserve"> 48939/99</w:t>
      </w:r>
      <w:r w:rsidR="00C60A12" w:rsidRPr="000142AB">
        <w:rPr>
          <w:lang w:val="fr-FR"/>
        </w:rPr>
        <w:t>, § 134</w:t>
      </w:r>
      <w:r w:rsidR="00BA31FB" w:rsidRPr="000142AB">
        <w:rPr>
          <w:lang w:val="fr-FR"/>
        </w:rPr>
        <w:t xml:space="preserve">, </w:t>
      </w:r>
      <w:r w:rsidR="00516C19" w:rsidRPr="000142AB">
        <w:rPr>
          <w:lang w:val="fr-FR"/>
        </w:rPr>
        <w:t>CEDH</w:t>
      </w:r>
      <w:r w:rsidR="00BA31FB" w:rsidRPr="000142AB">
        <w:rPr>
          <w:lang w:val="fr-FR"/>
        </w:rPr>
        <w:t xml:space="preserve"> 2004</w:t>
      </w:r>
      <w:r w:rsidR="00516C19" w:rsidRPr="000142AB">
        <w:rPr>
          <w:lang w:val="fr-FR"/>
        </w:rPr>
        <w:t>-XII</w:t>
      </w:r>
      <w:r w:rsidR="00BA31FB" w:rsidRPr="000142AB">
        <w:rPr>
          <w:lang w:val="fr-FR"/>
        </w:rPr>
        <w:t>).</w:t>
      </w:r>
    </w:p>
    <w:p w:rsidR="00BA31FB" w:rsidRPr="000142AB" w:rsidRDefault="00D07CC4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57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BA31FB" w:rsidRPr="000142AB">
        <w:rPr>
          <w:lang w:val="fr-FR"/>
        </w:rPr>
        <w:t>Par ailleurs, combiné</w:t>
      </w:r>
      <w:r w:rsidR="00CF1B20" w:rsidRPr="000142AB">
        <w:rPr>
          <w:lang w:val="fr-FR"/>
        </w:rPr>
        <w:t>e</w:t>
      </w:r>
      <w:r w:rsidR="00BA31FB" w:rsidRPr="000142AB">
        <w:rPr>
          <w:lang w:val="fr-FR"/>
        </w:rPr>
        <w:t xml:space="preserve"> avec la première phrase de l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 xml:space="preserve">article 1 du Protocole </w:t>
      </w:r>
      <w:r w:rsidR="00D7588D" w:rsidRPr="000142AB">
        <w:rPr>
          <w:lang w:val="fr-FR"/>
        </w:rPr>
        <w:t>n</w:t>
      </w:r>
      <w:r w:rsidR="0075652F" w:rsidRPr="000142AB">
        <w:rPr>
          <w:vertAlign w:val="superscript"/>
          <w:lang w:val="fr-FR"/>
        </w:rPr>
        <w:t>o</w:t>
      </w:r>
      <w:r w:rsidR="00D7588D" w:rsidRPr="000142AB">
        <w:rPr>
          <w:lang w:val="fr-FR"/>
        </w:rPr>
        <w:t xml:space="preserve"> 1</w:t>
      </w:r>
      <w:r w:rsidR="00BA31FB" w:rsidRPr="000142AB">
        <w:rPr>
          <w:lang w:val="fr-FR"/>
        </w:rPr>
        <w:t xml:space="preserve">, la prééminence du droit, </w:t>
      </w:r>
      <w:r w:rsidR="00FE7D9C" w:rsidRPr="000142AB">
        <w:rPr>
          <w:lang w:val="fr-FR"/>
        </w:rPr>
        <w:t xml:space="preserve">qui est </w:t>
      </w:r>
      <w:r w:rsidR="00BA31FB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un des principe</w:t>
      </w:r>
      <w:r w:rsidR="00346530" w:rsidRPr="000142AB">
        <w:rPr>
          <w:lang w:val="fr-FR"/>
        </w:rPr>
        <w:t>s</w:t>
      </w:r>
      <w:r w:rsidR="00BA31FB" w:rsidRPr="000142AB">
        <w:rPr>
          <w:lang w:val="fr-FR"/>
        </w:rPr>
        <w:t xml:space="preserve"> fondamentaux d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une société démocratique</w:t>
      </w:r>
      <w:r w:rsidR="00FE7D9C" w:rsidRPr="000142AB">
        <w:rPr>
          <w:lang w:val="fr-FR"/>
        </w:rPr>
        <w:t xml:space="preserve"> et qui est</w:t>
      </w:r>
      <w:r w:rsidR="00BA31FB" w:rsidRPr="000142AB">
        <w:rPr>
          <w:lang w:val="fr-FR"/>
        </w:rPr>
        <w:t xml:space="preserve"> inhérente à l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ensemble des articles de la Convention, justifie la sanction d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 xml:space="preserve">un </w:t>
      </w:r>
      <w:r w:rsidR="007D74E2" w:rsidRPr="000142AB">
        <w:rPr>
          <w:lang w:val="fr-FR"/>
        </w:rPr>
        <w:t>État</w:t>
      </w:r>
      <w:r w:rsidR="00BA31FB" w:rsidRPr="000142AB">
        <w:rPr>
          <w:lang w:val="fr-FR"/>
        </w:rPr>
        <w:t xml:space="preserve"> </w:t>
      </w:r>
      <w:r w:rsidR="00FE7D9C" w:rsidRPr="000142AB">
        <w:rPr>
          <w:lang w:val="fr-FR"/>
        </w:rPr>
        <w:t>ayant refusé</w:t>
      </w:r>
      <w:r w:rsidR="00BA31FB" w:rsidRPr="000142AB">
        <w:rPr>
          <w:lang w:val="fr-FR"/>
        </w:rPr>
        <w:t xml:space="preserve"> d</w:t>
      </w:r>
      <w:r w:rsidR="000142AB" w:rsidRPr="000142AB">
        <w:rPr>
          <w:lang w:val="fr-FR"/>
        </w:rPr>
        <w:t>’</w:t>
      </w:r>
      <w:r w:rsidR="00BA31FB" w:rsidRPr="000142AB">
        <w:rPr>
          <w:lang w:val="fr-FR"/>
        </w:rPr>
        <w:t>exécuter ou de faire exécuter une décision de justice (</w:t>
      </w:r>
      <w:r w:rsidR="00FE7D9C" w:rsidRPr="000142AB">
        <w:rPr>
          <w:i/>
          <w:lang w:val="fr-FR"/>
        </w:rPr>
        <w:t>Matheus</w:t>
      </w:r>
      <w:r w:rsidR="00FE7D9C" w:rsidRPr="000142AB">
        <w:rPr>
          <w:lang w:val="fr-FR"/>
        </w:rPr>
        <w:t>, arrêt précité, § 70</w:t>
      </w:r>
      <w:r w:rsidR="00BA31FB" w:rsidRPr="000142AB">
        <w:rPr>
          <w:lang w:val="fr-FR"/>
        </w:rPr>
        <w:t>).</w:t>
      </w:r>
    </w:p>
    <w:p w:rsidR="0075652F" w:rsidRPr="000142AB" w:rsidRDefault="00A77194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58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EC0A56" w:rsidRPr="000142AB">
        <w:rPr>
          <w:lang w:val="fr-FR"/>
        </w:rPr>
        <w:t>En l</w:t>
      </w:r>
      <w:r w:rsidR="000142AB" w:rsidRPr="000142AB">
        <w:rPr>
          <w:lang w:val="fr-FR"/>
        </w:rPr>
        <w:t>’</w:t>
      </w:r>
      <w:r w:rsidR="00EC0A56" w:rsidRPr="000142AB">
        <w:rPr>
          <w:lang w:val="fr-FR"/>
        </w:rPr>
        <w:t>espèce, l</w:t>
      </w:r>
      <w:r w:rsidR="00513E80" w:rsidRPr="000142AB">
        <w:rPr>
          <w:lang w:val="fr-FR"/>
        </w:rPr>
        <w:t xml:space="preserve">a Cour </w:t>
      </w:r>
      <w:r w:rsidR="00166996" w:rsidRPr="000142AB">
        <w:rPr>
          <w:lang w:val="fr-FR"/>
        </w:rPr>
        <w:t>réitère</w:t>
      </w:r>
      <w:r w:rsidR="00513E80" w:rsidRPr="000142AB">
        <w:rPr>
          <w:lang w:val="fr-FR"/>
        </w:rPr>
        <w:t xml:space="preserve"> que</w:t>
      </w:r>
      <w:r w:rsidR="000B7702" w:rsidRPr="000142AB">
        <w:rPr>
          <w:lang w:val="fr-FR"/>
        </w:rPr>
        <w:t>,</w:t>
      </w:r>
      <w:r w:rsidR="00513E80" w:rsidRPr="000142AB">
        <w:rPr>
          <w:lang w:val="fr-FR"/>
        </w:rPr>
        <w:t xml:space="preserve"> </w:t>
      </w:r>
      <w:r w:rsidR="00C716D8" w:rsidRPr="000142AB">
        <w:rPr>
          <w:lang w:val="fr-FR"/>
        </w:rPr>
        <w:t>pendant plus de cinq ans</w:t>
      </w:r>
      <w:r w:rsidR="000B7702" w:rsidRPr="000142AB">
        <w:rPr>
          <w:lang w:val="fr-FR"/>
        </w:rPr>
        <w:t>,</w:t>
      </w:r>
      <w:r w:rsidR="00C716D8" w:rsidRPr="000142AB">
        <w:rPr>
          <w:lang w:val="fr-FR"/>
        </w:rPr>
        <w:t xml:space="preserve"> les autorités sont restées </w:t>
      </w:r>
      <w:r w:rsidR="000B7702" w:rsidRPr="000142AB">
        <w:rPr>
          <w:lang w:val="fr-FR"/>
        </w:rPr>
        <w:t xml:space="preserve">inactives </w:t>
      </w:r>
      <w:r w:rsidR="00C716D8" w:rsidRPr="000142AB">
        <w:rPr>
          <w:lang w:val="fr-FR"/>
        </w:rPr>
        <w:t xml:space="preserve">face à la décision </w:t>
      </w:r>
      <w:r w:rsidR="00EC0A56" w:rsidRPr="000142AB">
        <w:rPr>
          <w:lang w:val="fr-FR"/>
        </w:rPr>
        <w:t xml:space="preserve">par laquelle le </w:t>
      </w:r>
      <w:r w:rsidR="00C716D8" w:rsidRPr="000142AB">
        <w:rPr>
          <w:lang w:val="fr-FR"/>
        </w:rPr>
        <w:t xml:space="preserve">juge des investigations préliminaires </w:t>
      </w:r>
      <w:r w:rsidR="00EC0A56" w:rsidRPr="000142AB">
        <w:rPr>
          <w:lang w:val="fr-FR"/>
        </w:rPr>
        <w:t xml:space="preserve">avait </w:t>
      </w:r>
      <w:r w:rsidR="00C716D8" w:rsidRPr="000142AB">
        <w:rPr>
          <w:lang w:val="fr-FR"/>
        </w:rPr>
        <w:t>ordonn</w:t>
      </w:r>
      <w:r w:rsidR="00EC0A56" w:rsidRPr="000142AB">
        <w:rPr>
          <w:lang w:val="fr-FR"/>
        </w:rPr>
        <w:t>é</w:t>
      </w:r>
      <w:r w:rsidR="00C716D8" w:rsidRPr="000142AB">
        <w:rPr>
          <w:lang w:val="fr-FR"/>
        </w:rPr>
        <w:t xml:space="preserve"> </w:t>
      </w:r>
      <w:r w:rsidR="000B7702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0B7702" w:rsidRPr="000142AB">
        <w:rPr>
          <w:lang w:val="fr-FR"/>
        </w:rPr>
        <w:t>évacuation</w:t>
      </w:r>
      <w:r w:rsidR="00C716D8" w:rsidRPr="000142AB">
        <w:rPr>
          <w:lang w:val="fr-FR"/>
        </w:rPr>
        <w:t xml:space="preserve"> de l</w:t>
      </w:r>
      <w:r w:rsidR="000142AB" w:rsidRPr="000142AB">
        <w:rPr>
          <w:lang w:val="fr-FR"/>
        </w:rPr>
        <w:t>’</w:t>
      </w:r>
      <w:r w:rsidR="00C716D8" w:rsidRPr="000142AB">
        <w:rPr>
          <w:lang w:val="fr-FR"/>
        </w:rPr>
        <w:t>immeuble de la requérante.</w:t>
      </w:r>
    </w:p>
    <w:p w:rsidR="00C06C61" w:rsidRPr="000142AB" w:rsidRDefault="00C716D8" w:rsidP="000142AB">
      <w:pPr>
        <w:pStyle w:val="ECHRPara"/>
        <w:rPr>
          <w:b/>
          <w:lang w:val="fr-FR"/>
        </w:rPr>
      </w:pPr>
      <w:r w:rsidRPr="000142AB">
        <w:rPr>
          <w:lang w:val="fr-FR"/>
        </w:rPr>
        <w:t xml:space="preserve">La Cour vient de reconnaître que </w:t>
      </w:r>
      <w:r w:rsidR="006D4616" w:rsidRPr="000142AB">
        <w:rPr>
          <w:lang w:val="fr-FR"/>
        </w:rPr>
        <w:t>des raisons d</w:t>
      </w:r>
      <w:r w:rsidR="000142AB" w:rsidRPr="000142AB">
        <w:rPr>
          <w:lang w:val="fr-FR"/>
        </w:rPr>
        <w:t>’</w:t>
      </w:r>
      <w:r w:rsidR="006D4616" w:rsidRPr="000142AB">
        <w:rPr>
          <w:lang w:val="fr-FR"/>
        </w:rPr>
        <w:t xml:space="preserve">ordre social </w:t>
      </w:r>
      <w:r w:rsidR="00AE6542" w:rsidRPr="000142AB">
        <w:rPr>
          <w:lang w:val="fr-FR"/>
        </w:rPr>
        <w:t xml:space="preserve">et </w:t>
      </w:r>
      <w:r w:rsidR="006B3AE7" w:rsidRPr="000142AB">
        <w:rPr>
          <w:lang w:val="fr-FR"/>
        </w:rPr>
        <w:t xml:space="preserve">des nécessités </w:t>
      </w:r>
      <w:r w:rsidR="00AE6542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344F1C" w:rsidRPr="000142AB">
        <w:rPr>
          <w:lang w:val="fr-FR"/>
        </w:rPr>
        <w:t>ordr</w:t>
      </w:r>
      <w:r w:rsidR="00E70CC9" w:rsidRPr="000142AB">
        <w:rPr>
          <w:lang w:val="fr-FR"/>
        </w:rPr>
        <w:t>e</w:t>
      </w:r>
      <w:r w:rsidR="00344F1C" w:rsidRPr="000142AB">
        <w:rPr>
          <w:lang w:val="fr-FR"/>
        </w:rPr>
        <w:t xml:space="preserve"> public</w:t>
      </w:r>
      <w:r w:rsidR="006B3AE7" w:rsidRPr="000142AB">
        <w:rPr>
          <w:lang w:val="fr-FR"/>
        </w:rPr>
        <w:t>,</w:t>
      </w:r>
      <w:r w:rsidR="00344F1C" w:rsidRPr="000142AB">
        <w:rPr>
          <w:lang w:val="fr-FR"/>
        </w:rPr>
        <w:t xml:space="preserve"> </w:t>
      </w:r>
      <w:r w:rsidR="006B3AE7" w:rsidRPr="000142AB">
        <w:rPr>
          <w:lang w:val="fr-FR"/>
        </w:rPr>
        <w:t>qu</w:t>
      </w:r>
      <w:r w:rsidR="000142AB" w:rsidRPr="000142AB">
        <w:rPr>
          <w:lang w:val="fr-FR"/>
        </w:rPr>
        <w:t>’</w:t>
      </w:r>
      <w:r w:rsidR="006B3AE7" w:rsidRPr="000142AB">
        <w:rPr>
          <w:lang w:val="fr-FR"/>
        </w:rPr>
        <w:t>elle ne sous-estime pas</w:t>
      </w:r>
      <w:r w:rsidR="00AE6542" w:rsidRPr="000142AB">
        <w:rPr>
          <w:lang w:val="fr-FR"/>
        </w:rPr>
        <w:t>, auraient pu</w:t>
      </w:r>
      <w:r w:rsidR="006D4616" w:rsidRPr="000142AB">
        <w:rPr>
          <w:lang w:val="fr-FR"/>
        </w:rPr>
        <w:t xml:space="preserve"> en l</w:t>
      </w:r>
      <w:r w:rsidR="000142AB" w:rsidRPr="000142AB">
        <w:rPr>
          <w:lang w:val="fr-FR"/>
        </w:rPr>
        <w:t>’</w:t>
      </w:r>
      <w:r w:rsidR="006D4616" w:rsidRPr="000142AB">
        <w:rPr>
          <w:lang w:val="fr-FR"/>
        </w:rPr>
        <w:t xml:space="preserve">espèce justifier </w:t>
      </w:r>
      <w:r w:rsidR="00B62BB1" w:rsidRPr="000142AB">
        <w:rPr>
          <w:lang w:val="fr-FR"/>
        </w:rPr>
        <w:t>un retard d</w:t>
      </w:r>
      <w:r w:rsidR="000142AB" w:rsidRPr="000142AB">
        <w:rPr>
          <w:lang w:val="fr-FR"/>
        </w:rPr>
        <w:t>’</w:t>
      </w:r>
      <w:r w:rsidR="006D4616" w:rsidRPr="000142AB">
        <w:rPr>
          <w:lang w:val="fr-FR"/>
        </w:rPr>
        <w:t xml:space="preserve">exécution. Cependant, </w:t>
      </w:r>
      <w:r w:rsidR="001723FD" w:rsidRPr="000142AB">
        <w:rPr>
          <w:lang w:val="fr-FR"/>
        </w:rPr>
        <w:t>elle</w:t>
      </w:r>
      <w:r w:rsidR="00EB6FEA" w:rsidRPr="000142AB">
        <w:rPr>
          <w:lang w:val="fr-FR"/>
        </w:rPr>
        <w:t xml:space="preserve"> ne peut considérer comme acceptable la </w:t>
      </w:r>
      <w:r w:rsidR="006D4616" w:rsidRPr="000142AB">
        <w:rPr>
          <w:lang w:val="fr-FR"/>
        </w:rPr>
        <w:t>durée de l</w:t>
      </w:r>
      <w:r w:rsidR="000142AB" w:rsidRPr="000142AB">
        <w:rPr>
          <w:lang w:val="fr-FR"/>
        </w:rPr>
        <w:t>’</w:t>
      </w:r>
      <w:r w:rsidR="00E70CC9" w:rsidRPr="000142AB">
        <w:rPr>
          <w:lang w:val="fr-FR"/>
        </w:rPr>
        <w:t>inexécution</w:t>
      </w:r>
      <w:r w:rsidR="00C06C61" w:rsidRPr="000142AB">
        <w:rPr>
          <w:lang w:val="fr-FR"/>
        </w:rPr>
        <w:t xml:space="preserve"> en l</w:t>
      </w:r>
      <w:r w:rsidR="000142AB" w:rsidRPr="000142AB">
        <w:rPr>
          <w:lang w:val="fr-FR"/>
        </w:rPr>
        <w:t>’</w:t>
      </w:r>
      <w:r w:rsidR="00C06C61" w:rsidRPr="000142AB">
        <w:rPr>
          <w:lang w:val="fr-FR"/>
        </w:rPr>
        <w:t>espèce</w:t>
      </w:r>
      <w:r w:rsidR="006D4616" w:rsidRPr="000142AB">
        <w:rPr>
          <w:lang w:val="fr-FR"/>
        </w:rPr>
        <w:t xml:space="preserve">, qui perdure </w:t>
      </w:r>
      <w:r w:rsidR="006B3AE7" w:rsidRPr="000142AB">
        <w:rPr>
          <w:lang w:val="fr-FR"/>
        </w:rPr>
        <w:t xml:space="preserve">encore </w:t>
      </w:r>
      <w:r w:rsidR="00425717" w:rsidRPr="000142AB">
        <w:rPr>
          <w:lang w:val="fr-FR"/>
        </w:rPr>
        <w:t>à ce jour</w:t>
      </w:r>
      <w:r w:rsidR="006D4616" w:rsidRPr="000142AB">
        <w:rPr>
          <w:lang w:val="fr-FR"/>
        </w:rPr>
        <w:t xml:space="preserve">, </w:t>
      </w:r>
      <w:r w:rsidR="00C06C61" w:rsidRPr="000142AB">
        <w:rPr>
          <w:lang w:val="fr-FR"/>
        </w:rPr>
        <w:t xml:space="preserve">associée à </w:t>
      </w:r>
      <w:r w:rsidR="006D4616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6D4616" w:rsidRPr="000142AB">
        <w:rPr>
          <w:lang w:val="fr-FR"/>
        </w:rPr>
        <w:t>absence totale d</w:t>
      </w:r>
      <w:r w:rsidR="000142AB" w:rsidRPr="000142AB">
        <w:rPr>
          <w:lang w:val="fr-FR"/>
        </w:rPr>
        <w:t>’</w:t>
      </w:r>
      <w:r w:rsidR="006D4616" w:rsidRPr="000142AB">
        <w:rPr>
          <w:lang w:val="fr-FR"/>
        </w:rPr>
        <w:t xml:space="preserve">informations </w:t>
      </w:r>
      <w:r w:rsidR="00AE6542" w:rsidRPr="000142AB">
        <w:rPr>
          <w:lang w:val="fr-FR"/>
        </w:rPr>
        <w:t>concernant</w:t>
      </w:r>
      <w:r w:rsidR="006D4616" w:rsidRPr="000142AB">
        <w:rPr>
          <w:lang w:val="fr-FR"/>
        </w:rPr>
        <w:t xml:space="preserve"> </w:t>
      </w:r>
      <w:r w:rsidR="00D12FB6" w:rsidRPr="000142AB">
        <w:rPr>
          <w:lang w:val="fr-FR"/>
        </w:rPr>
        <w:t xml:space="preserve">les </w:t>
      </w:r>
      <w:r w:rsidR="006D4616" w:rsidRPr="000142AB">
        <w:rPr>
          <w:lang w:val="fr-FR"/>
        </w:rPr>
        <w:t xml:space="preserve">démarches </w:t>
      </w:r>
      <w:r w:rsidR="006F082F" w:rsidRPr="000142AB">
        <w:rPr>
          <w:lang w:val="fr-FR"/>
        </w:rPr>
        <w:t>entreprises ou envisagées</w:t>
      </w:r>
      <w:r w:rsidR="006D4616" w:rsidRPr="000142AB">
        <w:rPr>
          <w:lang w:val="fr-FR"/>
        </w:rPr>
        <w:t xml:space="preserve"> par </w:t>
      </w:r>
      <w:r w:rsidR="00C06C61" w:rsidRPr="000142AB">
        <w:rPr>
          <w:lang w:val="fr-FR"/>
        </w:rPr>
        <w:t>l</w:t>
      </w:r>
      <w:r w:rsidR="006D4616" w:rsidRPr="000142AB">
        <w:rPr>
          <w:lang w:val="fr-FR"/>
        </w:rPr>
        <w:t>es autori</w:t>
      </w:r>
      <w:r w:rsidR="00C06C61" w:rsidRPr="000142AB">
        <w:rPr>
          <w:lang w:val="fr-FR"/>
        </w:rPr>
        <w:t>tés</w:t>
      </w:r>
      <w:r w:rsidR="00D12FB6" w:rsidRPr="000142AB">
        <w:rPr>
          <w:lang w:val="fr-FR"/>
        </w:rPr>
        <w:t xml:space="preserve"> </w:t>
      </w:r>
      <w:r w:rsidR="00C06C61" w:rsidRPr="000142AB">
        <w:rPr>
          <w:lang w:val="fr-FR"/>
        </w:rPr>
        <w:t xml:space="preserve">pour </w:t>
      </w:r>
      <w:r w:rsidR="006B3AE7" w:rsidRPr="000142AB">
        <w:rPr>
          <w:lang w:val="fr-FR"/>
        </w:rPr>
        <w:t>mettre un terme à</w:t>
      </w:r>
      <w:r w:rsidR="00C06C61" w:rsidRPr="000142AB">
        <w:rPr>
          <w:lang w:val="fr-FR"/>
        </w:rPr>
        <w:t xml:space="preserve"> la situation.</w:t>
      </w:r>
      <w:r w:rsidR="003D719F" w:rsidRPr="000142AB">
        <w:rPr>
          <w:lang w:val="fr-FR"/>
        </w:rPr>
        <w:t xml:space="preserve"> Par ailleurs, la Cour ne perd pas de vue que la requérante </w:t>
      </w:r>
      <w:r w:rsidR="00B669F5" w:rsidRPr="000142AB">
        <w:rPr>
          <w:lang w:val="fr-FR"/>
        </w:rPr>
        <w:t>est</w:t>
      </w:r>
      <w:r w:rsidR="006129C3" w:rsidRPr="000142AB">
        <w:rPr>
          <w:lang w:val="fr-FR"/>
        </w:rPr>
        <w:t xml:space="preserve"> toujours redevable</w:t>
      </w:r>
      <w:r w:rsidR="00B669F5" w:rsidRPr="000142AB">
        <w:rPr>
          <w:lang w:val="fr-FR"/>
        </w:rPr>
        <w:t>, en attendant,</w:t>
      </w:r>
      <w:r w:rsidR="006129C3" w:rsidRPr="000142AB">
        <w:rPr>
          <w:lang w:val="fr-FR"/>
        </w:rPr>
        <w:t xml:space="preserve"> des </w:t>
      </w:r>
      <w:r w:rsidR="003D719F" w:rsidRPr="000142AB">
        <w:rPr>
          <w:lang w:val="fr-FR"/>
        </w:rPr>
        <w:t>frais de consommation</w:t>
      </w:r>
      <w:r w:rsidR="004A3616" w:rsidRPr="000142AB">
        <w:rPr>
          <w:lang w:val="fr-FR"/>
        </w:rPr>
        <w:t xml:space="preserve"> énergétique</w:t>
      </w:r>
      <w:r w:rsidR="003D719F" w:rsidRPr="000142AB">
        <w:rPr>
          <w:lang w:val="fr-FR"/>
        </w:rPr>
        <w:t xml:space="preserve"> des occupants </w:t>
      </w:r>
      <w:r w:rsidR="00DA0219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DA0219" w:rsidRPr="000142AB">
        <w:rPr>
          <w:lang w:val="fr-FR"/>
        </w:rPr>
        <w:t>immeuble</w:t>
      </w:r>
      <w:r w:rsidR="003D719F" w:rsidRPr="000142AB">
        <w:rPr>
          <w:lang w:val="fr-FR"/>
        </w:rPr>
        <w:t>.</w:t>
      </w:r>
    </w:p>
    <w:p w:rsidR="00D323B2" w:rsidRPr="000142AB" w:rsidRDefault="007D74E2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59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 xml:space="preserve">.  Compte tenu des intérêts </w:t>
      </w:r>
      <w:r w:rsidR="00250C87" w:rsidRPr="000142AB">
        <w:rPr>
          <w:lang w:val="fr-FR"/>
        </w:rPr>
        <w:t>individuels de la requérante, les autorités auraient dû</w:t>
      </w:r>
      <w:r w:rsidR="003D719F" w:rsidRPr="000142AB">
        <w:rPr>
          <w:lang w:val="fr-FR"/>
        </w:rPr>
        <w:t>,</w:t>
      </w:r>
      <w:r w:rsidR="00BA4AEB" w:rsidRPr="000142AB">
        <w:rPr>
          <w:lang w:val="fr-FR"/>
        </w:rPr>
        <w:t xml:space="preserve"> après un laps de temps raisonnable </w:t>
      </w:r>
      <w:r w:rsidR="004A3616" w:rsidRPr="000142AB">
        <w:rPr>
          <w:lang w:val="fr-FR"/>
        </w:rPr>
        <w:t>consacré à la recherche d</w:t>
      </w:r>
      <w:r w:rsidR="000142AB" w:rsidRPr="000142AB">
        <w:rPr>
          <w:lang w:val="fr-FR"/>
        </w:rPr>
        <w:t>’</w:t>
      </w:r>
      <w:r w:rsidR="00BA4AEB" w:rsidRPr="000142AB">
        <w:rPr>
          <w:lang w:val="fr-FR"/>
        </w:rPr>
        <w:t>une solution satisfaisante, prendre les mesure</w:t>
      </w:r>
      <w:r w:rsidR="006F082F" w:rsidRPr="000142AB">
        <w:rPr>
          <w:lang w:val="fr-FR"/>
        </w:rPr>
        <w:t>s</w:t>
      </w:r>
      <w:r w:rsidR="00BA4AEB" w:rsidRPr="000142AB">
        <w:rPr>
          <w:lang w:val="fr-FR"/>
        </w:rPr>
        <w:t xml:space="preserve"> nécessaires au respect de la décision de justice.</w:t>
      </w:r>
    </w:p>
    <w:p w:rsidR="007D74E2" w:rsidRPr="000142AB" w:rsidRDefault="0070095C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60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95184E" w:rsidRPr="000142AB">
        <w:rPr>
          <w:lang w:val="fr-FR"/>
        </w:rPr>
        <w:t>Pour des raisons similaires à celles exposées au regard de l</w:t>
      </w:r>
      <w:r w:rsidR="000142AB" w:rsidRPr="000142AB">
        <w:rPr>
          <w:lang w:val="fr-FR"/>
        </w:rPr>
        <w:t>’</w:t>
      </w:r>
      <w:r w:rsidR="0095184E" w:rsidRPr="000142AB">
        <w:rPr>
          <w:lang w:val="fr-FR"/>
        </w:rPr>
        <w:t>allégation de violation de l</w:t>
      </w:r>
      <w:r w:rsidR="000142AB" w:rsidRPr="000142AB">
        <w:rPr>
          <w:lang w:val="fr-FR"/>
        </w:rPr>
        <w:t>’</w:t>
      </w:r>
      <w:r w:rsidR="0095184E" w:rsidRPr="000142AB">
        <w:rPr>
          <w:lang w:val="fr-FR"/>
        </w:rPr>
        <w:t>article 6 § 1 de la Convention, la Cour considère, eu égard à ce qui précède, qu</w:t>
      </w:r>
      <w:r w:rsidR="000142AB" w:rsidRPr="000142AB">
        <w:rPr>
          <w:lang w:val="fr-FR"/>
        </w:rPr>
        <w:t>’</w:t>
      </w:r>
      <w:r w:rsidR="0095184E" w:rsidRPr="000142AB">
        <w:rPr>
          <w:lang w:val="fr-FR"/>
        </w:rPr>
        <w:t>il y a eu en l</w:t>
      </w:r>
      <w:r w:rsidR="000142AB" w:rsidRPr="000142AB">
        <w:rPr>
          <w:lang w:val="fr-FR"/>
        </w:rPr>
        <w:t>’</w:t>
      </w:r>
      <w:r w:rsidR="0095184E" w:rsidRPr="000142AB">
        <w:rPr>
          <w:lang w:val="fr-FR"/>
        </w:rPr>
        <w:t>espèce violation de l</w:t>
      </w:r>
      <w:r w:rsidR="000142AB" w:rsidRPr="000142AB">
        <w:rPr>
          <w:lang w:val="fr-FR"/>
        </w:rPr>
        <w:t>’</w:t>
      </w:r>
      <w:r w:rsidR="0095184E" w:rsidRPr="000142AB">
        <w:rPr>
          <w:lang w:val="fr-FR"/>
        </w:rPr>
        <w:t>article 1 du Pr</w:t>
      </w:r>
      <w:r w:rsidRPr="000142AB">
        <w:rPr>
          <w:lang w:val="fr-FR"/>
        </w:rPr>
        <w:t>otocole n</w:t>
      </w:r>
      <w:r w:rsidR="0075652F" w:rsidRPr="000142AB">
        <w:rPr>
          <w:vertAlign w:val="superscript"/>
          <w:lang w:val="fr-FR"/>
        </w:rPr>
        <w:t>o</w:t>
      </w:r>
      <w:r w:rsidR="002C0463" w:rsidRPr="000142AB">
        <w:rPr>
          <w:lang w:val="fr-FR"/>
        </w:rPr>
        <w:t> </w:t>
      </w:r>
      <w:r w:rsidR="0095184E" w:rsidRPr="000142AB">
        <w:rPr>
          <w:lang w:val="fr-FR"/>
        </w:rPr>
        <w:t>1.</w:t>
      </w:r>
    </w:p>
    <w:p w:rsidR="00E77CB3" w:rsidRPr="000142AB" w:rsidRDefault="00AE7F32" w:rsidP="000142AB">
      <w:pPr>
        <w:pStyle w:val="ECHRHeading1"/>
        <w:rPr>
          <w:lang w:val="fr-FR"/>
        </w:rPr>
      </w:pPr>
      <w:r w:rsidRPr="000142AB">
        <w:rPr>
          <w:lang w:val="fr-FR"/>
        </w:rPr>
        <w:lastRenderedPageBreak/>
        <w:t>I</w:t>
      </w:r>
      <w:r w:rsidR="00051E75" w:rsidRPr="000142AB">
        <w:rPr>
          <w:lang w:val="fr-FR"/>
        </w:rPr>
        <w:t>I</w:t>
      </w:r>
      <w:r w:rsidR="00E77CB3" w:rsidRPr="000142AB">
        <w:rPr>
          <w:lang w:val="fr-FR"/>
        </w:rPr>
        <w:t>.  SUR LA VIOLATION ALLÉGUÉE DE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 xml:space="preserve">ARTICLE </w:t>
      </w:r>
      <w:r w:rsidR="00BA35DE" w:rsidRPr="000142AB">
        <w:rPr>
          <w:lang w:val="fr-FR"/>
        </w:rPr>
        <w:t>13</w:t>
      </w:r>
      <w:r w:rsidR="00E77CB3" w:rsidRPr="000142AB">
        <w:rPr>
          <w:lang w:val="fr-FR"/>
        </w:rPr>
        <w:t xml:space="preserve"> DE LA CONVENTION</w:t>
      </w:r>
    </w:p>
    <w:p w:rsidR="0060251F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61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Pr="000142AB">
        <w:rPr>
          <w:lang w:val="fr-FR"/>
        </w:rPr>
        <w:t xml:space="preserve">La requérante </w:t>
      </w:r>
      <w:r w:rsidR="00334D76" w:rsidRPr="000142AB">
        <w:rPr>
          <w:lang w:val="fr-FR"/>
        </w:rPr>
        <w:t>dénonce</w:t>
      </w:r>
      <w:r w:rsidR="00E77CB3" w:rsidRPr="000142AB">
        <w:rPr>
          <w:lang w:val="fr-FR"/>
        </w:rPr>
        <w:t xml:space="preserve"> également </w:t>
      </w:r>
      <w:r w:rsidR="00C6748D" w:rsidRPr="000142AB">
        <w:rPr>
          <w:lang w:val="fr-FR"/>
        </w:rPr>
        <w:t>une violation de</w:t>
      </w:r>
      <w:r w:rsidR="00E77CB3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 xml:space="preserve">article </w:t>
      </w:r>
      <w:r w:rsidR="00C6748D" w:rsidRPr="000142AB">
        <w:rPr>
          <w:lang w:val="fr-FR"/>
        </w:rPr>
        <w:t>13 de la Convention. Elle</w:t>
      </w:r>
      <w:r w:rsidR="00346530" w:rsidRPr="000142AB">
        <w:rPr>
          <w:lang w:val="fr-FR"/>
        </w:rPr>
        <w:t xml:space="preserve"> </w:t>
      </w:r>
      <w:r w:rsidR="00835709" w:rsidRPr="000142AB">
        <w:rPr>
          <w:lang w:val="fr-FR"/>
        </w:rPr>
        <w:t>se plaint de ne pas avoir disposé</w:t>
      </w:r>
      <w:r w:rsidR="00346530" w:rsidRPr="000142AB">
        <w:rPr>
          <w:lang w:val="fr-FR"/>
        </w:rPr>
        <w:t xml:space="preserve"> en droit interne d</w:t>
      </w:r>
      <w:r w:rsidR="000142AB" w:rsidRPr="000142AB">
        <w:rPr>
          <w:lang w:val="fr-FR"/>
        </w:rPr>
        <w:t>’</w:t>
      </w:r>
      <w:r w:rsidR="00346530" w:rsidRPr="000142AB">
        <w:rPr>
          <w:lang w:val="fr-FR"/>
        </w:rPr>
        <w:t xml:space="preserve">un recours effectif </w:t>
      </w:r>
      <w:r w:rsidR="00835709" w:rsidRPr="000142AB">
        <w:rPr>
          <w:lang w:val="fr-FR"/>
        </w:rPr>
        <w:t>susceptible de lui permettre de</w:t>
      </w:r>
      <w:r w:rsidR="00346530" w:rsidRPr="000142AB">
        <w:rPr>
          <w:lang w:val="fr-FR"/>
        </w:rPr>
        <w:t xml:space="preserve"> faire exécuter la décision ordonnant </w:t>
      </w:r>
      <w:r w:rsidR="00835709" w:rsidRPr="000142AB">
        <w:rPr>
          <w:lang w:val="fr-FR"/>
        </w:rPr>
        <w:t>l</w:t>
      </w:r>
      <w:r w:rsidR="000142AB" w:rsidRPr="000142AB">
        <w:rPr>
          <w:lang w:val="fr-FR"/>
        </w:rPr>
        <w:t>’</w:t>
      </w:r>
      <w:r w:rsidR="00835709" w:rsidRPr="000142AB">
        <w:rPr>
          <w:lang w:val="fr-FR"/>
        </w:rPr>
        <w:t>évacuation</w:t>
      </w:r>
      <w:r w:rsidR="00346530" w:rsidRPr="000142AB">
        <w:rPr>
          <w:lang w:val="fr-FR"/>
        </w:rPr>
        <w:t xml:space="preserve"> de son immeuble. Elle réitère les motifs</w:t>
      </w:r>
      <w:r w:rsidR="007F7873" w:rsidRPr="000142AB">
        <w:rPr>
          <w:lang w:val="fr-FR"/>
        </w:rPr>
        <w:t xml:space="preserve"> qu</w:t>
      </w:r>
      <w:r w:rsidR="000142AB" w:rsidRPr="000142AB">
        <w:rPr>
          <w:lang w:val="fr-FR"/>
        </w:rPr>
        <w:t>’</w:t>
      </w:r>
      <w:r w:rsidR="007F7873" w:rsidRPr="000142AB">
        <w:rPr>
          <w:lang w:val="fr-FR"/>
        </w:rPr>
        <w:t xml:space="preserve">elle avait </w:t>
      </w:r>
      <w:r w:rsidR="002F0E9B" w:rsidRPr="000142AB">
        <w:rPr>
          <w:lang w:val="fr-FR"/>
        </w:rPr>
        <w:t xml:space="preserve">avancés </w:t>
      </w:r>
      <w:r w:rsidR="00346530" w:rsidRPr="000142AB">
        <w:rPr>
          <w:lang w:val="fr-FR"/>
        </w:rPr>
        <w:t>sous l</w:t>
      </w:r>
      <w:r w:rsidR="000142AB" w:rsidRPr="000142AB">
        <w:rPr>
          <w:lang w:val="fr-FR"/>
        </w:rPr>
        <w:t>’</w:t>
      </w:r>
      <w:r w:rsidR="00346530" w:rsidRPr="000142AB">
        <w:rPr>
          <w:lang w:val="fr-FR"/>
        </w:rPr>
        <w:t>angle de l</w:t>
      </w:r>
      <w:r w:rsidR="000142AB" w:rsidRPr="000142AB">
        <w:rPr>
          <w:lang w:val="fr-FR"/>
        </w:rPr>
        <w:t>’</w:t>
      </w:r>
      <w:r w:rsidR="00346530" w:rsidRPr="000142AB">
        <w:rPr>
          <w:lang w:val="fr-FR"/>
        </w:rPr>
        <w:t>article 6 § 1 de la Convention quant au droit d</w:t>
      </w:r>
      <w:r w:rsidR="000142AB" w:rsidRPr="000142AB">
        <w:rPr>
          <w:lang w:val="fr-FR"/>
        </w:rPr>
        <w:t>’</w:t>
      </w:r>
      <w:r w:rsidR="00346530" w:rsidRPr="000142AB">
        <w:rPr>
          <w:lang w:val="fr-FR"/>
        </w:rPr>
        <w:t>accès à un tribunal.</w:t>
      </w:r>
    </w:p>
    <w:p w:rsidR="00976D2C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62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</w:t>
      </w:r>
      <w:r w:rsidR="00051DF3" w:rsidRPr="000142AB">
        <w:rPr>
          <w:rFonts w:ascii="Times New Roman" w:hAnsi="Times New Roman"/>
          <w:bCs/>
          <w:szCs w:val="24"/>
          <w:lang w:val="fr-FR"/>
        </w:rPr>
        <w:t>La Cour relève que ce grief est lié à celui examiné sous l</w:t>
      </w:r>
      <w:r w:rsidR="000142AB" w:rsidRPr="000142AB">
        <w:rPr>
          <w:rFonts w:ascii="Times New Roman" w:hAnsi="Times New Roman"/>
          <w:bCs/>
          <w:szCs w:val="24"/>
          <w:lang w:val="fr-FR"/>
        </w:rPr>
        <w:t>’</w:t>
      </w:r>
      <w:r w:rsidR="00051DF3" w:rsidRPr="000142AB">
        <w:rPr>
          <w:rFonts w:ascii="Times New Roman" w:hAnsi="Times New Roman"/>
          <w:bCs/>
          <w:szCs w:val="24"/>
          <w:lang w:val="fr-FR"/>
        </w:rPr>
        <w:t>angle de l</w:t>
      </w:r>
      <w:r w:rsidR="000142AB" w:rsidRPr="000142AB">
        <w:rPr>
          <w:rFonts w:ascii="Times New Roman" w:hAnsi="Times New Roman"/>
          <w:bCs/>
          <w:szCs w:val="24"/>
          <w:lang w:val="fr-FR"/>
        </w:rPr>
        <w:t>’</w:t>
      </w:r>
      <w:r w:rsidR="00051DF3" w:rsidRPr="000142AB">
        <w:rPr>
          <w:rFonts w:ascii="Times New Roman" w:hAnsi="Times New Roman"/>
          <w:bCs/>
          <w:szCs w:val="24"/>
          <w:lang w:val="fr-FR"/>
        </w:rPr>
        <w:t>article 6 § 1 et doit donc aussi être déclaré recevable.</w:t>
      </w:r>
      <w:r w:rsidR="00051DF3" w:rsidRPr="000142AB">
        <w:rPr>
          <w:rFonts w:ascii="Times New Roman" w:hAnsi="Times New Roman"/>
          <w:szCs w:val="24"/>
          <w:lang w:val="fr-FR"/>
        </w:rPr>
        <w:t xml:space="preserve"> </w:t>
      </w:r>
      <w:r w:rsidR="00976D2C" w:rsidRPr="000142AB">
        <w:rPr>
          <w:lang w:val="fr-FR"/>
        </w:rPr>
        <w:t>Compte tenu des conclusions auxquelles elle est parvenue sur le terrain de l</w:t>
      </w:r>
      <w:r w:rsidR="000142AB" w:rsidRPr="000142AB">
        <w:rPr>
          <w:lang w:val="fr-FR"/>
        </w:rPr>
        <w:t>’</w:t>
      </w:r>
      <w:r w:rsidR="00976D2C" w:rsidRPr="000142AB">
        <w:rPr>
          <w:lang w:val="fr-FR"/>
        </w:rPr>
        <w:t xml:space="preserve">article 6 § 1 de la Convention (paragraphe </w:t>
      </w:r>
      <w:r w:rsidR="00F53761" w:rsidRPr="000142AB">
        <w:rPr>
          <w:lang w:val="fr-FR"/>
        </w:rPr>
        <w:t>5</w:t>
      </w:r>
      <w:r w:rsidR="00B42F58" w:rsidRPr="000142AB">
        <w:rPr>
          <w:lang w:val="fr-FR"/>
        </w:rPr>
        <w:t>4</w:t>
      </w:r>
      <w:r w:rsidR="00976D2C" w:rsidRPr="000142AB">
        <w:rPr>
          <w:lang w:val="fr-FR"/>
        </w:rPr>
        <w:t xml:space="preserve"> ci-dessus), la Cour </w:t>
      </w:r>
      <w:r w:rsidR="00835709" w:rsidRPr="000142AB">
        <w:rPr>
          <w:lang w:val="fr-FR"/>
        </w:rPr>
        <w:t xml:space="preserve">estime </w:t>
      </w:r>
      <w:r w:rsidR="00051DF3" w:rsidRPr="000142AB">
        <w:rPr>
          <w:lang w:val="fr-FR"/>
        </w:rPr>
        <w:t xml:space="preserve">cependant </w:t>
      </w:r>
      <w:r w:rsidR="00976D2C" w:rsidRPr="000142AB">
        <w:rPr>
          <w:lang w:val="fr-FR"/>
        </w:rPr>
        <w:t>que le grief tiré de l</w:t>
      </w:r>
      <w:r w:rsidR="000142AB" w:rsidRPr="000142AB">
        <w:rPr>
          <w:lang w:val="fr-FR"/>
        </w:rPr>
        <w:t>’</w:t>
      </w:r>
      <w:r w:rsidR="00976D2C" w:rsidRPr="000142AB">
        <w:rPr>
          <w:lang w:val="fr-FR"/>
        </w:rPr>
        <w:t>article 13 ne soulève pas de question distincte.</w:t>
      </w:r>
    </w:p>
    <w:p w:rsidR="004F5172" w:rsidRPr="000142AB" w:rsidRDefault="00976D2C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63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En conséquence, elle conclut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il n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y a pas lieu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examiner séparément le grief tiré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13</w:t>
      </w:r>
      <w:r w:rsidR="00451525" w:rsidRPr="000142AB">
        <w:rPr>
          <w:lang w:val="fr-FR"/>
        </w:rPr>
        <w:t>.</w:t>
      </w:r>
    </w:p>
    <w:p w:rsidR="00E77CB3" w:rsidRPr="000142AB" w:rsidRDefault="00AE7F32" w:rsidP="000142AB">
      <w:pPr>
        <w:pStyle w:val="ECHRHeading1"/>
        <w:rPr>
          <w:lang w:val="fr-FR"/>
        </w:rPr>
      </w:pPr>
      <w:r w:rsidRPr="000142AB">
        <w:rPr>
          <w:lang w:val="fr-FR"/>
        </w:rPr>
        <w:t>III</w:t>
      </w:r>
      <w:r w:rsidR="00E77CB3" w:rsidRPr="000142AB">
        <w:rPr>
          <w:lang w:val="fr-FR"/>
        </w:rPr>
        <w:t>.  SUR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APPLICATION DE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ARTICLE 41 DE LA CONVENTION</w:t>
      </w:r>
    </w:p>
    <w:p w:rsidR="00E77CB3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64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>.  Aux termes de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article 41 de la Convention,</w:t>
      </w:r>
    </w:p>
    <w:p w:rsidR="00E77CB3" w:rsidRPr="000142AB" w:rsidRDefault="00E77CB3" w:rsidP="000142AB">
      <w:pPr>
        <w:pStyle w:val="ECHRParaQuote"/>
        <w:keepNext/>
        <w:keepLines/>
        <w:rPr>
          <w:lang w:val="fr-FR"/>
        </w:rPr>
      </w:pPr>
      <w:r w:rsidRPr="000142AB">
        <w:rPr>
          <w:lang w:val="fr-FR"/>
        </w:rPr>
        <w:t>« Si la Cour déclare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il y a eu violation de la Convention ou de ses Protocoles, et si le droit interne de la Haute Partie contractante ne permet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effacer 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imparfaitement les conséquences de cette violation, la Cour accorde à la partie lésée, s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il y a lieu, une satisfaction équitable. »</w:t>
      </w:r>
    </w:p>
    <w:p w:rsidR="001D2645" w:rsidRPr="000142AB" w:rsidRDefault="001D2645" w:rsidP="000142AB">
      <w:pPr>
        <w:pStyle w:val="ECHRHeading2"/>
        <w:rPr>
          <w:lang w:val="fr-FR"/>
        </w:rPr>
      </w:pPr>
      <w:r w:rsidRPr="000142AB">
        <w:rPr>
          <w:lang w:val="fr-FR"/>
        </w:rPr>
        <w:t>A.  Dommage</w:t>
      </w:r>
    </w:p>
    <w:p w:rsidR="00163CB4" w:rsidRPr="000142AB" w:rsidRDefault="00C14ECB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65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497B6D" w:rsidRPr="000142AB">
        <w:rPr>
          <w:lang w:val="fr-FR"/>
        </w:rPr>
        <w:t>La requérante</w:t>
      </w:r>
      <w:r w:rsidR="00163CB4" w:rsidRPr="000142AB">
        <w:rPr>
          <w:lang w:val="fr-FR"/>
        </w:rPr>
        <w:t xml:space="preserve"> réclame </w:t>
      </w:r>
      <w:r w:rsidR="009C7FEB" w:rsidRPr="000142AB">
        <w:rPr>
          <w:lang w:val="fr-FR"/>
        </w:rPr>
        <w:t xml:space="preserve">9 517 500 </w:t>
      </w:r>
      <w:r w:rsidR="00163CB4" w:rsidRPr="000142AB">
        <w:rPr>
          <w:lang w:val="fr-FR"/>
        </w:rPr>
        <w:t xml:space="preserve">euros (EUR) </w:t>
      </w:r>
      <w:r w:rsidR="00EE619E" w:rsidRPr="000142AB">
        <w:rPr>
          <w:lang w:val="fr-FR"/>
        </w:rPr>
        <w:t>pour</w:t>
      </w:r>
      <w:r w:rsidR="00163CB4" w:rsidRPr="000142AB">
        <w:rPr>
          <w:lang w:val="fr-FR"/>
        </w:rPr>
        <w:t xml:space="preserve"> préjudice matériel</w:t>
      </w:r>
      <w:r w:rsidR="00F03ECC" w:rsidRPr="000142AB">
        <w:rPr>
          <w:lang w:val="fr-FR"/>
        </w:rPr>
        <w:t xml:space="preserve">. </w:t>
      </w:r>
      <w:r w:rsidR="009571E1" w:rsidRPr="000142AB">
        <w:rPr>
          <w:lang w:val="fr-FR"/>
        </w:rPr>
        <w:t>Elle indique que cette</w:t>
      </w:r>
      <w:r w:rsidR="00E16C1B" w:rsidRPr="000142AB">
        <w:rPr>
          <w:lang w:val="fr-FR"/>
        </w:rPr>
        <w:t xml:space="preserve"> somme </w:t>
      </w:r>
      <w:r w:rsidR="009C7FEB" w:rsidRPr="000142AB">
        <w:rPr>
          <w:lang w:val="fr-FR"/>
        </w:rPr>
        <w:t xml:space="preserve">correspond </w:t>
      </w:r>
      <w:r w:rsidR="00516C19" w:rsidRPr="000142AB">
        <w:rPr>
          <w:lang w:val="fr-FR"/>
        </w:rPr>
        <w:t>aux loyers qu</w:t>
      </w:r>
      <w:r w:rsidR="000142AB" w:rsidRPr="000142AB">
        <w:rPr>
          <w:lang w:val="fr-FR"/>
        </w:rPr>
        <w:t>’</w:t>
      </w:r>
      <w:r w:rsidR="00516C19" w:rsidRPr="000142AB">
        <w:rPr>
          <w:lang w:val="fr-FR"/>
        </w:rPr>
        <w:t>elle aurait perçus</w:t>
      </w:r>
      <w:r w:rsidR="009571E1" w:rsidRPr="000142AB">
        <w:rPr>
          <w:lang w:val="fr-FR"/>
        </w:rPr>
        <w:t xml:space="preserve">, à savoir 2 115 000 EUR par an, </w:t>
      </w:r>
      <w:r w:rsidR="00F03ECC" w:rsidRPr="000142AB">
        <w:rPr>
          <w:lang w:val="fr-FR"/>
        </w:rPr>
        <w:t>s</w:t>
      </w:r>
      <w:r w:rsidR="000142AB" w:rsidRPr="000142AB">
        <w:rPr>
          <w:lang w:val="fr-FR"/>
        </w:rPr>
        <w:t>’</w:t>
      </w:r>
      <w:r w:rsidR="00F03ECC" w:rsidRPr="000142AB">
        <w:rPr>
          <w:lang w:val="fr-FR"/>
        </w:rPr>
        <w:t xml:space="preserve">ils </w:t>
      </w:r>
      <w:r w:rsidR="00516C19" w:rsidRPr="000142AB">
        <w:rPr>
          <w:lang w:val="fr-FR"/>
        </w:rPr>
        <w:t xml:space="preserve">lui </w:t>
      </w:r>
      <w:r w:rsidR="00F03ECC" w:rsidRPr="000142AB">
        <w:rPr>
          <w:lang w:val="fr-FR"/>
        </w:rPr>
        <w:t xml:space="preserve">avaient été </w:t>
      </w:r>
      <w:r w:rsidR="00516C19" w:rsidRPr="000142AB">
        <w:rPr>
          <w:lang w:val="fr-FR"/>
        </w:rPr>
        <w:t>versé</w:t>
      </w:r>
      <w:r w:rsidR="00F03ECC" w:rsidRPr="000142AB">
        <w:rPr>
          <w:lang w:val="fr-FR"/>
        </w:rPr>
        <w:t xml:space="preserve">s </w:t>
      </w:r>
      <w:r w:rsidR="00E16C1B" w:rsidRPr="000142AB">
        <w:rPr>
          <w:lang w:val="fr-FR"/>
        </w:rPr>
        <w:t>depuis l</w:t>
      </w:r>
      <w:r w:rsidR="00F03ECC" w:rsidRPr="000142AB">
        <w:rPr>
          <w:lang w:val="fr-FR"/>
        </w:rPr>
        <w:t>e début de l</w:t>
      </w:r>
      <w:r w:rsidR="000142AB" w:rsidRPr="000142AB">
        <w:rPr>
          <w:lang w:val="fr-FR"/>
        </w:rPr>
        <w:t>’</w:t>
      </w:r>
      <w:r w:rsidR="00E16C1B" w:rsidRPr="000142AB">
        <w:rPr>
          <w:lang w:val="fr-FR"/>
        </w:rPr>
        <w:t>occupation</w:t>
      </w:r>
      <w:r w:rsidR="00516C19" w:rsidRPr="000142AB">
        <w:rPr>
          <w:lang w:val="fr-FR"/>
        </w:rPr>
        <w:t xml:space="preserve"> litigieuse</w:t>
      </w:r>
      <w:r w:rsidR="009C7FEB" w:rsidRPr="000142AB">
        <w:rPr>
          <w:lang w:val="fr-FR"/>
        </w:rPr>
        <w:t>. Ell</w:t>
      </w:r>
      <w:r w:rsidR="00AF4C1D" w:rsidRPr="000142AB">
        <w:rPr>
          <w:lang w:val="fr-FR"/>
        </w:rPr>
        <w:t>e demande également 100</w:t>
      </w:r>
      <w:r w:rsidR="00EE619E" w:rsidRPr="000142AB">
        <w:rPr>
          <w:lang w:val="fr-FR"/>
        </w:rPr>
        <w:t> </w:t>
      </w:r>
      <w:r w:rsidR="00AF4C1D" w:rsidRPr="000142AB">
        <w:rPr>
          <w:lang w:val="fr-FR"/>
        </w:rPr>
        <w:t>000</w:t>
      </w:r>
      <w:r w:rsidR="00EB0AB4" w:rsidRPr="000142AB">
        <w:rPr>
          <w:lang w:val="fr-FR"/>
        </w:rPr>
        <w:t> </w:t>
      </w:r>
      <w:r w:rsidR="00AF4C1D" w:rsidRPr="000142AB">
        <w:rPr>
          <w:lang w:val="fr-FR"/>
        </w:rPr>
        <w:t>EUR</w:t>
      </w:r>
      <w:r w:rsidR="009C7FEB" w:rsidRPr="000142AB">
        <w:rPr>
          <w:lang w:val="fr-FR"/>
        </w:rPr>
        <w:t xml:space="preserve"> pour dommage moral</w:t>
      </w:r>
      <w:r w:rsidR="00163CB4" w:rsidRPr="000142AB">
        <w:rPr>
          <w:lang w:val="fr-FR"/>
        </w:rPr>
        <w:t>.</w:t>
      </w:r>
    </w:p>
    <w:p w:rsidR="00C14ECB" w:rsidRPr="000142AB" w:rsidRDefault="00497B6D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66</w:t>
      </w:r>
      <w:r w:rsidRPr="000142AB">
        <w:rPr>
          <w:lang w:val="fr-FR"/>
        </w:rPr>
        <w:fldChar w:fldCharType="end"/>
      </w:r>
      <w:r w:rsidR="00E77CB3" w:rsidRPr="000142AB">
        <w:rPr>
          <w:lang w:val="fr-FR"/>
        </w:rPr>
        <w:t xml:space="preserve">.  Le Gouvernement </w:t>
      </w:r>
      <w:r w:rsidR="00F50C58" w:rsidRPr="000142AB">
        <w:rPr>
          <w:lang w:val="fr-FR"/>
        </w:rPr>
        <w:t>estime qu</w:t>
      </w:r>
      <w:r w:rsidR="000142AB" w:rsidRPr="000142AB">
        <w:rPr>
          <w:lang w:val="fr-FR"/>
        </w:rPr>
        <w:t>’</w:t>
      </w:r>
      <w:r w:rsidR="00516C19" w:rsidRPr="000142AB">
        <w:rPr>
          <w:lang w:val="fr-FR"/>
        </w:rPr>
        <w:t>aucune somme</w:t>
      </w:r>
      <w:r w:rsidR="00F50C58" w:rsidRPr="000142AB">
        <w:rPr>
          <w:lang w:val="fr-FR"/>
        </w:rPr>
        <w:t xml:space="preserve"> ne devrait être alloué</w:t>
      </w:r>
      <w:r w:rsidR="00516C19" w:rsidRPr="000142AB">
        <w:rPr>
          <w:lang w:val="fr-FR"/>
        </w:rPr>
        <w:t>e</w:t>
      </w:r>
      <w:r w:rsidR="00F50C58" w:rsidRPr="000142AB">
        <w:rPr>
          <w:lang w:val="fr-FR"/>
        </w:rPr>
        <w:t xml:space="preserve"> à la requérante </w:t>
      </w:r>
      <w:r w:rsidR="00F50273" w:rsidRPr="000142AB">
        <w:rPr>
          <w:lang w:val="fr-FR"/>
        </w:rPr>
        <w:t xml:space="preserve">au titre de </w:t>
      </w:r>
      <w:r w:rsidR="00516C19" w:rsidRPr="000142AB">
        <w:rPr>
          <w:lang w:val="fr-FR"/>
        </w:rPr>
        <w:t xml:space="preserve">la </w:t>
      </w:r>
      <w:r w:rsidR="00F50273" w:rsidRPr="000142AB">
        <w:rPr>
          <w:lang w:val="fr-FR"/>
        </w:rPr>
        <w:t>satisfaction équitable</w:t>
      </w:r>
      <w:r w:rsidR="00B35C00" w:rsidRPr="000142AB">
        <w:rPr>
          <w:lang w:val="fr-FR"/>
        </w:rPr>
        <w:t xml:space="preserve"> compte tenu notamment de la possibilité </w:t>
      </w:r>
      <w:r w:rsidR="00844FC8" w:rsidRPr="000142AB">
        <w:rPr>
          <w:lang w:val="fr-FR"/>
        </w:rPr>
        <w:t xml:space="preserve">qui serait </w:t>
      </w:r>
      <w:r w:rsidR="009571E1" w:rsidRPr="000142AB">
        <w:rPr>
          <w:lang w:val="fr-FR"/>
        </w:rPr>
        <w:t>celle de l</w:t>
      </w:r>
      <w:r w:rsidR="000142AB" w:rsidRPr="000142AB">
        <w:rPr>
          <w:lang w:val="fr-FR"/>
        </w:rPr>
        <w:t>’</w:t>
      </w:r>
      <w:r w:rsidR="009571E1" w:rsidRPr="000142AB">
        <w:rPr>
          <w:lang w:val="fr-FR"/>
        </w:rPr>
        <w:t>intéressée</w:t>
      </w:r>
      <w:r w:rsidR="00844FC8" w:rsidRPr="000142AB">
        <w:rPr>
          <w:lang w:val="fr-FR"/>
        </w:rPr>
        <w:t xml:space="preserve"> </w:t>
      </w:r>
      <w:r w:rsidR="00B35C00" w:rsidRPr="000142AB">
        <w:rPr>
          <w:lang w:val="fr-FR"/>
        </w:rPr>
        <w:t>d</w:t>
      </w:r>
      <w:r w:rsidR="000142AB" w:rsidRPr="000142AB">
        <w:rPr>
          <w:lang w:val="fr-FR"/>
        </w:rPr>
        <w:t>’</w:t>
      </w:r>
      <w:r w:rsidR="00B35C00" w:rsidRPr="000142AB">
        <w:rPr>
          <w:lang w:val="fr-FR"/>
        </w:rPr>
        <w:t>obtenir un dédommagement au niveau national</w:t>
      </w:r>
      <w:r w:rsidR="00F50273" w:rsidRPr="000142AB">
        <w:rPr>
          <w:lang w:val="fr-FR"/>
        </w:rPr>
        <w:t>.</w:t>
      </w:r>
    </w:p>
    <w:p w:rsidR="00D323B2" w:rsidRPr="000142AB" w:rsidRDefault="00B57B1E" w:rsidP="000142AB">
      <w:pPr>
        <w:pStyle w:val="ECHRPara"/>
        <w:rPr>
          <w:rFonts w:eastAsia="Times New Roman"/>
          <w:lang w:val="fr-FR"/>
        </w:rPr>
      </w:pPr>
      <w:r w:rsidRPr="000142AB">
        <w:rPr>
          <w:rFonts w:eastAsia="Times New Roman"/>
          <w:lang w:val="fr-FR"/>
        </w:rPr>
        <w:fldChar w:fldCharType="begin"/>
      </w:r>
      <w:r w:rsidRPr="000142AB">
        <w:rPr>
          <w:rFonts w:eastAsia="Times New Roman"/>
          <w:lang w:val="fr-FR"/>
        </w:rPr>
        <w:instrText xml:space="preserve"> SEQ level0 \*arabic </w:instrText>
      </w:r>
      <w:r w:rsidRPr="000142AB">
        <w:rPr>
          <w:rFonts w:eastAsia="Times New Roman"/>
          <w:lang w:val="fr-FR"/>
        </w:rPr>
        <w:fldChar w:fldCharType="separate"/>
      </w:r>
      <w:r w:rsidR="000142AB" w:rsidRPr="000142AB">
        <w:rPr>
          <w:rFonts w:eastAsia="Times New Roman"/>
          <w:noProof/>
          <w:lang w:val="fr-FR"/>
        </w:rPr>
        <w:t>67</w:t>
      </w:r>
      <w:r w:rsidRPr="000142AB">
        <w:rPr>
          <w:rFonts w:eastAsia="Times New Roman"/>
          <w:lang w:val="fr-FR"/>
        </w:rPr>
        <w:fldChar w:fldCharType="end"/>
      </w:r>
      <w:r w:rsidRPr="000142AB">
        <w:rPr>
          <w:rFonts w:eastAsia="Times New Roman"/>
          <w:lang w:val="fr-FR"/>
        </w:rPr>
        <w:t>.  La Cour observe que la base à retenir pour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octroi d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une satisfaction équitable réside en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espèce dans le constat de violation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article 6 de la Convention et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article 1 du Protocole n</w:t>
      </w:r>
      <w:r w:rsidRPr="000142AB">
        <w:rPr>
          <w:rFonts w:eastAsia="Times New Roman"/>
          <w:vertAlign w:val="superscript"/>
          <w:lang w:val="fr-FR"/>
        </w:rPr>
        <w:t>o</w:t>
      </w:r>
      <w:r w:rsidRPr="000142AB">
        <w:rPr>
          <w:rFonts w:eastAsia="Times New Roman"/>
          <w:lang w:val="fr-FR"/>
        </w:rPr>
        <w:t xml:space="preserve"> 1 à la Convention à raison de la non-exécution d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une décision de justice ordonnant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évacuation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immeuble de la requérante.</w:t>
      </w:r>
    </w:p>
    <w:p w:rsidR="00D323B2" w:rsidRPr="000142AB" w:rsidRDefault="00BA49EF" w:rsidP="000142AB">
      <w:pPr>
        <w:pStyle w:val="ECHRPara"/>
        <w:rPr>
          <w:rFonts w:eastAsia="Times New Roman"/>
          <w:lang w:val="fr-FR"/>
        </w:rPr>
      </w:pPr>
      <w:r w:rsidRPr="000142AB">
        <w:rPr>
          <w:rFonts w:eastAsia="Times New Roman"/>
          <w:lang w:val="fr-FR"/>
        </w:rPr>
        <w:fldChar w:fldCharType="begin"/>
      </w:r>
      <w:r w:rsidRPr="000142AB">
        <w:rPr>
          <w:rFonts w:eastAsia="Times New Roman"/>
          <w:lang w:val="fr-FR"/>
        </w:rPr>
        <w:instrText xml:space="preserve"> SEQ level0 \*arabic </w:instrText>
      </w:r>
      <w:r w:rsidRPr="000142AB">
        <w:rPr>
          <w:rFonts w:eastAsia="Times New Roman"/>
          <w:lang w:val="fr-FR"/>
        </w:rPr>
        <w:fldChar w:fldCharType="separate"/>
      </w:r>
      <w:r w:rsidR="000142AB" w:rsidRPr="000142AB">
        <w:rPr>
          <w:rFonts w:eastAsia="Times New Roman"/>
          <w:noProof/>
          <w:lang w:val="fr-FR"/>
        </w:rPr>
        <w:t>68</w:t>
      </w:r>
      <w:r w:rsidRPr="000142AB">
        <w:rPr>
          <w:rFonts w:eastAsia="Times New Roman"/>
          <w:lang w:val="fr-FR"/>
        </w:rPr>
        <w:fldChar w:fldCharType="end"/>
      </w:r>
      <w:r w:rsidRPr="000142AB">
        <w:rPr>
          <w:rFonts w:eastAsia="Times New Roman"/>
          <w:lang w:val="fr-FR"/>
        </w:rPr>
        <w:t>.  La requérante demande à titre de dommage matériel le montant des loyers qu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 xml:space="preserve">elle aurait pu obtenir si elle avait eu la possession de son immeuble. La Cour estime que si la requérante a incontestablement et </w:t>
      </w:r>
      <w:r w:rsidRPr="000142AB">
        <w:rPr>
          <w:rFonts w:eastAsia="Times New Roman"/>
          <w:lang w:val="fr-FR"/>
        </w:rPr>
        <w:lastRenderedPageBreak/>
        <w:t>nécessairement subi un préjudice matériel en raison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inaction prolongée des autorités vis-à-vis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occupation abusive,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on ne saurait néanmoins spéculer sur ce qu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auraient été les revenus locatifs que la requérante aurait pu percevoir en exploitant son immeuble, qui n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était d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ailleurs pas loué au moment des faits. Le rapport d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expertise diligenté à la demande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intéressée ne permet pas davantage à la Cour de calculer avec précision le préjudice subi de ce chef.</w:t>
      </w:r>
    </w:p>
    <w:p w:rsidR="00BA49EF" w:rsidRPr="000142AB" w:rsidRDefault="00BA49EF" w:rsidP="000142AB">
      <w:pPr>
        <w:pStyle w:val="ECHRPara"/>
        <w:rPr>
          <w:rFonts w:eastAsia="Times New Roman"/>
          <w:lang w:val="fr-FR"/>
        </w:rPr>
      </w:pPr>
      <w:r w:rsidRPr="000142AB">
        <w:rPr>
          <w:rFonts w:eastAsia="Times New Roman"/>
          <w:lang w:val="fr-FR"/>
        </w:rPr>
        <w:t>La Cour note enfin, avec le Gouvernement, que la requérante pourra obtenir un dédommagement devant les instances nationales, mieux placées pour apprécier le préjudice matériel souffert par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intéressée en raison de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occupation.</w:t>
      </w:r>
    </w:p>
    <w:p w:rsidR="00BA49EF" w:rsidRPr="000142AB" w:rsidRDefault="00BA49EF" w:rsidP="000142AB">
      <w:pPr>
        <w:pStyle w:val="ECHRPara"/>
        <w:rPr>
          <w:rFonts w:eastAsia="Times New Roman"/>
          <w:lang w:val="fr-FR"/>
        </w:rPr>
      </w:pPr>
      <w:r w:rsidRPr="000142AB">
        <w:rPr>
          <w:rFonts w:eastAsia="Times New Roman"/>
          <w:lang w:val="fr-FR"/>
        </w:rPr>
        <w:fldChar w:fldCharType="begin"/>
      </w:r>
      <w:r w:rsidRPr="000142AB">
        <w:rPr>
          <w:rFonts w:eastAsia="Times New Roman"/>
          <w:lang w:val="fr-FR"/>
        </w:rPr>
        <w:instrText xml:space="preserve"> SEQ level0 \*arabic </w:instrText>
      </w:r>
      <w:r w:rsidRPr="000142AB">
        <w:rPr>
          <w:rFonts w:eastAsia="Times New Roman"/>
          <w:lang w:val="fr-FR"/>
        </w:rPr>
        <w:fldChar w:fldCharType="separate"/>
      </w:r>
      <w:r w:rsidR="000142AB" w:rsidRPr="000142AB">
        <w:rPr>
          <w:rFonts w:eastAsia="Times New Roman"/>
          <w:noProof/>
          <w:lang w:val="fr-FR"/>
        </w:rPr>
        <w:t>69</w:t>
      </w:r>
      <w:r w:rsidRPr="000142AB">
        <w:rPr>
          <w:rFonts w:eastAsia="Times New Roman"/>
          <w:lang w:val="fr-FR"/>
        </w:rPr>
        <w:fldChar w:fldCharType="end"/>
      </w:r>
      <w:r w:rsidRPr="000142AB">
        <w:rPr>
          <w:rFonts w:eastAsia="Times New Roman"/>
          <w:lang w:val="fr-FR"/>
        </w:rPr>
        <w:t>.  En outre, pour ce qui est des coûts auxquels la requérante aurait été exposée, à savoir le paiement des frais de consommation énergétique des occupants et des impôts sur la propriété, la Cour observe que ceux-ci n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ont été ni chiffrés ni réclamés par l</w:t>
      </w:r>
      <w:r w:rsidR="000142AB" w:rsidRPr="000142AB">
        <w:rPr>
          <w:rFonts w:eastAsia="Times New Roman"/>
          <w:lang w:val="fr-FR"/>
        </w:rPr>
        <w:t>’</w:t>
      </w:r>
      <w:r w:rsidRPr="000142AB">
        <w:rPr>
          <w:rFonts w:eastAsia="Times New Roman"/>
          <w:lang w:val="fr-FR"/>
        </w:rPr>
        <w:t>intéressée dans ses demandes de satisfaction équitable.</w:t>
      </w:r>
    </w:p>
    <w:p w:rsidR="00F4704E" w:rsidRPr="000142AB" w:rsidRDefault="00BA49EF" w:rsidP="000142AB">
      <w:pPr>
        <w:pStyle w:val="ECHRPara"/>
        <w:rPr>
          <w:rFonts w:eastAsia="Times New Roman"/>
          <w:b/>
          <w:lang w:val="fr-FR"/>
        </w:rPr>
      </w:pPr>
      <w:r w:rsidRPr="000142AB">
        <w:rPr>
          <w:rFonts w:eastAsia="Times New Roman"/>
          <w:lang w:val="fr-FR"/>
        </w:rPr>
        <w:fldChar w:fldCharType="begin"/>
      </w:r>
      <w:r w:rsidRPr="000142AB">
        <w:rPr>
          <w:rFonts w:eastAsia="Times New Roman"/>
          <w:lang w:val="fr-FR"/>
        </w:rPr>
        <w:instrText xml:space="preserve"> SEQ level0 \*arabic </w:instrText>
      </w:r>
      <w:r w:rsidRPr="000142AB">
        <w:rPr>
          <w:rFonts w:eastAsia="Times New Roman"/>
          <w:lang w:val="fr-FR"/>
        </w:rPr>
        <w:fldChar w:fldCharType="separate"/>
      </w:r>
      <w:r w:rsidR="000142AB" w:rsidRPr="000142AB">
        <w:rPr>
          <w:rFonts w:eastAsia="Times New Roman"/>
          <w:noProof/>
          <w:lang w:val="fr-FR"/>
        </w:rPr>
        <w:t>70</w:t>
      </w:r>
      <w:r w:rsidRPr="000142AB">
        <w:rPr>
          <w:rFonts w:eastAsia="Times New Roman"/>
          <w:lang w:val="fr-FR"/>
        </w:rPr>
        <w:fldChar w:fldCharType="end"/>
      </w:r>
      <w:r w:rsidRPr="000142AB">
        <w:rPr>
          <w:rFonts w:eastAsia="Times New Roman"/>
          <w:lang w:val="fr-FR"/>
        </w:rPr>
        <w:t>.  </w:t>
      </w:r>
      <w:r w:rsidR="00F4704E" w:rsidRPr="000142AB">
        <w:rPr>
          <w:rFonts w:eastAsia="Times New Roman"/>
          <w:lang w:val="fr-FR"/>
        </w:rPr>
        <w:t xml:space="preserve">Dans ces conditions, il ne sera pas fait droit à </w:t>
      </w:r>
      <w:r w:rsidR="008002F8" w:rsidRPr="000142AB">
        <w:rPr>
          <w:rFonts w:eastAsia="Times New Roman"/>
          <w:lang w:val="fr-FR"/>
        </w:rPr>
        <w:t>la</w:t>
      </w:r>
      <w:r w:rsidR="00F4704E" w:rsidRPr="000142AB">
        <w:rPr>
          <w:rFonts w:eastAsia="Times New Roman"/>
          <w:lang w:val="fr-FR"/>
        </w:rPr>
        <w:t xml:space="preserve"> demande</w:t>
      </w:r>
      <w:r w:rsidR="008002F8" w:rsidRPr="000142AB">
        <w:rPr>
          <w:rFonts w:eastAsia="Times New Roman"/>
          <w:lang w:val="fr-FR"/>
        </w:rPr>
        <w:t xml:space="preserve"> de la requérante au titre de préjudice matériel</w:t>
      </w:r>
      <w:r w:rsidR="00F4704E" w:rsidRPr="000142AB">
        <w:rPr>
          <w:rFonts w:eastAsia="Times New Roman"/>
          <w:lang w:val="fr-FR"/>
        </w:rPr>
        <w:t xml:space="preserve"> (</w:t>
      </w:r>
      <w:r w:rsidR="00F4704E" w:rsidRPr="000142AB">
        <w:rPr>
          <w:rFonts w:eastAsia="Times New Roman"/>
          <w:i/>
          <w:lang w:val="fr-FR"/>
        </w:rPr>
        <w:t>Barret et Sirjean</w:t>
      </w:r>
      <w:r w:rsidR="00F4704E" w:rsidRPr="000142AB">
        <w:rPr>
          <w:rFonts w:eastAsia="Times New Roman"/>
          <w:lang w:val="fr-FR"/>
        </w:rPr>
        <w:t xml:space="preserve">, précitée, </w:t>
      </w:r>
      <w:r w:rsidR="00F4704E" w:rsidRPr="000142AB">
        <w:rPr>
          <w:rFonts w:eastAsia="Times New Roman"/>
          <w:snapToGrid w:val="0"/>
          <w:lang w:val="fr-FR"/>
        </w:rPr>
        <w:t>§</w:t>
      </w:r>
      <w:r w:rsidR="00EB0AB4" w:rsidRPr="000142AB">
        <w:rPr>
          <w:rFonts w:eastAsia="Times New Roman"/>
          <w:snapToGrid w:val="0"/>
          <w:lang w:val="fr-FR"/>
        </w:rPr>
        <w:t> </w:t>
      </w:r>
      <w:r w:rsidR="00F4704E" w:rsidRPr="000142AB">
        <w:rPr>
          <w:rFonts w:eastAsia="Times New Roman"/>
          <w:snapToGrid w:val="0"/>
          <w:lang w:val="fr-FR"/>
        </w:rPr>
        <w:t>54)</w:t>
      </w:r>
      <w:r w:rsidR="00787FA3" w:rsidRPr="000142AB">
        <w:rPr>
          <w:rFonts w:eastAsia="Times New Roman"/>
          <w:lang w:val="fr-FR"/>
        </w:rPr>
        <w:t>.</w:t>
      </w:r>
    </w:p>
    <w:p w:rsidR="00B57B1E" w:rsidRPr="000142AB" w:rsidRDefault="00BA49EF" w:rsidP="000142AB">
      <w:pPr>
        <w:pStyle w:val="ECHRPara"/>
        <w:rPr>
          <w:rFonts w:eastAsia="Times New Roman"/>
          <w:lang w:val="fr-FR"/>
        </w:rPr>
      </w:pPr>
      <w:r w:rsidRPr="000142AB">
        <w:rPr>
          <w:rFonts w:eastAsia="Times New Roman"/>
          <w:lang w:val="fr-FR"/>
        </w:rPr>
        <w:fldChar w:fldCharType="begin"/>
      </w:r>
      <w:r w:rsidRPr="000142AB">
        <w:rPr>
          <w:rFonts w:eastAsia="Times New Roman"/>
          <w:lang w:val="fr-FR"/>
        </w:rPr>
        <w:instrText xml:space="preserve"> SEQ level0 \*arabic </w:instrText>
      </w:r>
      <w:r w:rsidRPr="000142AB">
        <w:rPr>
          <w:rFonts w:eastAsia="Times New Roman"/>
          <w:lang w:val="fr-FR"/>
        </w:rPr>
        <w:fldChar w:fldCharType="separate"/>
      </w:r>
      <w:r w:rsidR="000142AB" w:rsidRPr="000142AB">
        <w:rPr>
          <w:rFonts w:eastAsia="Times New Roman"/>
          <w:noProof/>
          <w:lang w:val="fr-FR"/>
        </w:rPr>
        <w:t>71</w:t>
      </w:r>
      <w:r w:rsidRPr="000142AB">
        <w:rPr>
          <w:rFonts w:eastAsia="Times New Roman"/>
          <w:lang w:val="fr-FR"/>
        </w:rPr>
        <w:fldChar w:fldCharType="end"/>
      </w:r>
      <w:r w:rsidRPr="000142AB">
        <w:rPr>
          <w:rFonts w:eastAsia="Times New Roman"/>
          <w:lang w:val="fr-FR"/>
        </w:rPr>
        <w:t>.  </w:t>
      </w:r>
      <w:r w:rsidR="00B57B1E" w:rsidRPr="000142AB">
        <w:rPr>
          <w:rFonts w:eastAsia="Times New Roman"/>
          <w:lang w:val="fr-FR"/>
        </w:rPr>
        <w:t>En revanche, la Cour estime que la requérante a subi un préjudice moral certain que les constats de violation ne sauraient compenser. Statuant en équité comme le veut l</w:t>
      </w:r>
      <w:r w:rsidR="000142AB" w:rsidRPr="000142AB">
        <w:rPr>
          <w:rFonts w:eastAsia="Times New Roman"/>
          <w:lang w:val="fr-FR"/>
        </w:rPr>
        <w:t>’</w:t>
      </w:r>
      <w:r w:rsidR="00B57B1E" w:rsidRPr="000142AB">
        <w:rPr>
          <w:rFonts w:eastAsia="Times New Roman"/>
          <w:lang w:val="fr-FR"/>
        </w:rPr>
        <w:t>article 41 de la Convention, elle accorde à l</w:t>
      </w:r>
      <w:r w:rsidR="000142AB" w:rsidRPr="000142AB">
        <w:rPr>
          <w:rFonts w:eastAsia="Times New Roman"/>
          <w:lang w:val="fr-FR"/>
        </w:rPr>
        <w:t>’</w:t>
      </w:r>
      <w:r w:rsidR="00B57B1E" w:rsidRPr="000142AB">
        <w:rPr>
          <w:rFonts w:eastAsia="Times New Roman"/>
          <w:lang w:val="fr-FR"/>
        </w:rPr>
        <w:t>intéressée la somme de 20 000 EUR.</w:t>
      </w:r>
    </w:p>
    <w:p w:rsidR="00073E7E" w:rsidRPr="000142AB" w:rsidRDefault="000E41B2" w:rsidP="000142AB">
      <w:pPr>
        <w:pStyle w:val="ECHRHeading2"/>
        <w:rPr>
          <w:lang w:val="fr-FR"/>
        </w:rPr>
      </w:pPr>
      <w:r w:rsidRPr="000142AB">
        <w:rPr>
          <w:lang w:val="fr-FR"/>
        </w:rPr>
        <w:t>B</w:t>
      </w:r>
      <w:r w:rsidR="00073E7E" w:rsidRPr="000142AB">
        <w:rPr>
          <w:lang w:val="fr-FR"/>
        </w:rPr>
        <w:t>.  Intérêts moratoires</w:t>
      </w:r>
    </w:p>
    <w:p w:rsidR="00073E7E" w:rsidRPr="000142AB" w:rsidRDefault="00BA49EF" w:rsidP="000142AB">
      <w:pPr>
        <w:pStyle w:val="ECHRPara"/>
        <w:rPr>
          <w:lang w:val="fr-FR"/>
        </w:rPr>
      </w:pPr>
      <w:r w:rsidRPr="000142AB">
        <w:rPr>
          <w:lang w:val="fr-FR"/>
        </w:rPr>
        <w:fldChar w:fldCharType="begin"/>
      </w:r>
      <w:r w:rsidRPr="000142AB">
        <w:rPr>
          <w:lang w:val="fr-FR"/>
        </w:rPr>
        <w:instrText xml:space="preserve"> SEQ level0 \*arabic </w:instrText>
      </w:r>
      <w:r w:rsidRPr="000142AB">
        <w:rPr>
          <w:lang w:val="fr-FR"/>
        </w:rPr>
        <w:fldChar w:fldCharType="separate"/>
      </w:r>
      <w:r w:rsidR="000142AB" w:rsidRPr="000142AB">
        <w:rPr>
          <w:noProof/>
          <w:lang w:val="fr-FR"/>
        </w:rPr>
        <w:t>72</w:t>
      </w:r>
      <w:r w:rsidRPr="000142AB">
        <w:rPr>
          <w:lang w:val="fr-FR"/>
        </w:rPr>
        <w:fldChar w:fldCharType="end"/>
      </w:r>
      <w:r w:rsidRPr="000142AB">
        <w:rPr>
          <w:lang w:val="fr-FR"/>
        </w:rPr>
        <w:t>.  </w:t>
      </w:r>
      <w:r w:rsidR="00073E7E" w:rsidRPr="000142AB">
        <w:rPr>
          <w:lang w:val="fr-FR"/>
        </w:rPr>
        <w:t>La Cour juge approprié de calquer le taux des intérêts moratoires sur le taux d</w:t>
      </w:r>
      <w:r w:rsidR="000142AB" w:rsidRPr="000142AB">
        <w:rPr>
          <w:lang w:val="fr-FR"/>
        </w:rPr>
        <w:t>’</w:t>
      </w:r>
      <w:r w:rsidR="00073E7E" w:rsidRPr="000142AB">
        <w:rPr>
          <w:lang w:val="fr-FR"/>
        </w:rPr>
        <w:t>intérêt de la facilité de prêt marginal de la Banque centrale européenne majoré de trois points de pourcentage.</w:t>
      </w:r>
    </w:p>
    <w:p w:rsidR="00E77CB3" w:rsidRPr="000142AB" w:rsidRDefault="00E77CB3" w:rsidP="000142AB">
      <w:pPr>
        <w:pStyle w:val="ECHRTitle1"/>
        <w:rPr>
          <w:lang w:val="fr-FR"/>
        </w:rPr>
      </w:pPr>
      <w:r w:rsidRPr="000142AB">
        <w:rPr>
          <w:lang w:val="fr-FR"/>
        </w:rPr>
        <w:t>PAR CES MOTIFS, LA COUR</w:t>
      </w:r>
      <w:r w:rsidR="00497B6D" w:rsidRPr="000142AB">
        <w:rPr>
          <w:lang w:val="fr-FR"/>
        </w:rPr>
        <w:t>, À L</w:t>
      </w:r>
      <w:r w:rsidR="000142AB" w:rsidRPr="000142AB">
        <w:rPr>
          <w:lang w:val="fr-FR"/>
        </w:rPr>
        <w:t>’</w:t>
      </w:r>
      <w:r w:rsidR="00497B6D" w:rsidRPr="000142AB">
        <w:rPr>
          <w:lang w:val="fr-FR"/>
        </w:rPr>
        <w:t>UNANIMITÉ,</w:t>
      </w:r>
    </w:p>
    <w:p w:rsidR="00FB2B45" w:rsidRPr="000142AB" w:rsidRDefault="00FB2B45" w:rsidP="000142AB">
      <w:pPr>
        <w:pStyle w:val="JuList"/>
        <w:rPr>
          <w:lang w:val="fr-FR"/>
        </w:rPr>
      </w:pPr>
      <w:r w:rsidRPr="000142AB">
        <w:rPr>
          <w:lang w:val="fr-FR"/>
        </w:rPr>
        <w:t>1.  </w:t>
      </w:r>
      <w:r w:rsidRPr="000142AB">
        <w:rPr>
          <w:i/>
          <w:lang w:val="fr-FR"/>
        </w:rPr>
        <w:t>Déclare</w:t>
      </w:r>
      <w:r w:rsidRPr="000142AB">
        <w:rPr>
          <w:lang w:val="fr-FR"/>
        </w:rPr>
        <w:t xml:space="preserve"> </w:t>
      </w:r>
      <w:r w:rsidR="00497B6D" w:rsidRPr="000142AB">
        <w:rPr>
          <w:lang w:val="fr-FR"/>
        </w:rPr>
        <w:t>la requête recevable</w:t>
      </w:r>
      <w:r w:rsidR="00976D2C" w:rsidRPr="000142AB">
        <w:rPr>
          <w:lang w:val="fr-FR"/>
        </w:rPr>
        <w:t> </w:t>
      </w:r>
      <w:r w:rsidR="00697443" w:rsidRPr="000142AB">
        <w:rPr>
          <w:lang w:val="fr-FR"/>
        </w:rPr>
        <w:t>;</w:t>
      </w:r>
    </w:p>
    <w:p w:rsidR="00E77CB3" w:rsidRPr="000142AB" w:rsidRDefault="00E77CB3" w:rsidP="000142AB">
      <w:pPr>
        <w:pStyle w:val="JuList"/>
        <w:ind w:left="0" w:firstLine="0"/>
        <w:rPr>
          <w:lang w:val="fr-FR"/>
        </w:rPr>
      </w:pPr>
    </w:p>
    <w:p w:rsidR="00E77CB3" w:rsidRPr="000142AB" w:rsidRDefault="00B52926" w:rsidP="000142AB">
      <w:pPr>
        <w:pStyle w:val="JuList"/>
        <w:rPr>
          <w:lang w:val="fr-FR"/>
        </w:rPr>
      </w:pPr>
      <w:r w:rsidRPr="000142AB">
        <w:rPr>
          <w:lang w:val="fr-FR"/>
        </w:rPr>
        <w:t>2</w:t>
      </w:r>
      <w:r w:rsidR="00E77CB3" w:rsidRPr="000142AB">
        <w:rPr>
          <w:lang w:val="fr-FR"/>
        </w:rPr>
        <w:t>.  </w:t>
      </w:r>
      <w:r w:rsidR="00E77CB3" w:rsidRPr="000142AB">
        <w:rPr>
          <w:i/>
          <w:lang w:val="fr-FR"/>
        </w:rPr>
        <w:t>Dit</w:t>
      </w:r>
      <w:r w:rsidR="00E77CB3" w:rsidRPr="000142AB">
        <w:rPr>
          <w:lang w:val="fr-FR"/>
        </w:rPr>
        <w:t xml:space="preserve"> qu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il y a eu violation de</w:t>
      </w:r>
      <w:r w:rsidR="007518FC" w:rsidRPr="000142AB">
        <w:rPr>
          <w:lang w:val="fr-FR"/>
        </w:rPr>
        <w:t xml:space="preserve">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 xml:space="preserve">article </w:t>
      </w:r>
      <w:r w:rsidR="00976D2C" w:rsidRPr="000142AB">
        <w:rPr>
          <w:lang w:val="fr-FR"/>
        </w:rPr>
        <w:t>6 § 1</w:t>
      </w:r>
      <w:r w:rsidR="00E77CB3" w:rsidRPr="000142AB">
        <w:rPr>
          <w:lang w:val="fr-FR"/>
        </w:rPr>
        <w:t xml:space="preserve"> de la Convention</w:t>
      </w:r>
      <w:r w:rsidR="00976D2C" w:rsidRPr="000142AB">
        <w:rPr>
          <w:lang w:val="fr-FR"/>
        </w:rPr>
        <w:t xml:space="preserve"> et </w:t>
      </w:r>
      <w:r w:rsidR="007518FC" w:rsidRPr="000142AB">
        <w:rPr>
          <w:lang w:val="fr-FR"/>
        </w:rPr>
        <w:t>de l</w:t>
      </w:r>
      <w:r w:rsidR="000142AB" w:rsidRPr="000142AB">
        <w:rPr>
          <w:lang w:val="fr-FR"/>
        </w:rPr>
        <w:t>’</w:t>
      </w:r>
      <w:r w:rsidR="007518FC" w:rsidRPr="000142AB">
        <w:rPr>
          <w:lang w:val="fr-FR"/>
        </w:rPr>
        <w:t>article</w:t>
      </w:r>
      <w:r w:rsidR="00EB5332" w:rsidRPr="000142AB">
        <w:rPr>
          <w:lang w:val="fr-FR"/>
        </w:rPr>
        <w:t> </w:t>
      </w:r>
      <w:r w:rsidR="00976D2C" w:rsidRPr="000142AB">
        <w:rPr>
          <w:lang w:val="fr-FR"/>
        </w:rPr>
        <w:t>1 du Protocole n</w:t>
      </w:r>
      <w:r w:rsidR="0075652F" w:rsidRPr="000142AB">
        <w:rPr>
          <w:vertAlign w:val="superscript"/>
          <w:lang w:val="fr-FR"/>
        </w:rPr>
        <w:t>o</w:t>
      </w:r>
      <w:r w:rsidR="00976D2C" w:rsidRPr="000142AB">
        <w:rPr>
          <w:lang w:val="fr-FR"/>
        </w:rPr>
        <w:t xml:space="preserve"> 1</w:t>
      </w:r>
      <w:r w:rsidR="007518FC" w:rsidRPr="000142AB">
        <w:rPr>
          <w:lang w:val="fr-FR"/>
        </w:rPr>
        <w:t xml:space="preserve"> à la Convention</w:t>
      </w:r>
      <w:r w:rsidR="00E77CB3" w:rsidRPr="000142AB">
        <w:rPr>
          <w:lang w:val="fr-FR"/>
        </w:rPr>
        <w:t> ;</w:t>
      </w:r>
    </w:p>
    <w:p w:rsidR="00E77CB3" w:rsidRPr="000142AB" w:rsidRDefault="00E77CB3" w:rsidP="000142AB">
      <w:pPr>
        <w:pStyle w:val="JuList"/>
        <w:rPr>
          <w:lang w:val="fr-FR"/>
        </w:rPr>
      </w:pPr>
    </w:p>
    <w:p w:rsidR="00E77CB3" w:rsidRPr="000142AB" w:rsidRDefault="00976D2C" w:rsidP="000142AB">
      <w:pPr>
        <w:pStyle w:val="JuList"/>
        <w:rPr>
          <w:lang w:val="fr-FR"/>
        </w:rPr>
      </w:pPr>
      <w:r w:rsidRPr="000142AB">
        <w:rPr>
          <w:lang w:val="fr-FR"/>
        </w:rPr>
        <w:t>3</w:t>
      </w:r>
      <w:r w:rsidR="00E77CB3" w:rsidRPr="000142AB">
        <w:rPr>
          <w:lang w:val="fr-FR"/>
        </w:rPr>
        <w:t>.  </w:t>
      </w:r>
      <w:r w:rsidR="00E77CB3" w:rsidRPr="000142AB">
        <w:rPr>
          <w:i/>
          <w:lang w:val="fr-FR"/>
        </w:rPr>
        <w:t>Dit</w:t>
      </w:r>
      <w:r w:rsidR="00E77CB3" w:rsidRPr="000142AB">
        <w:rPr>
          <w:lang w:val="fr-FR"/>
        </w:rPr>
        <w:t xml:space="preserve"> qu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il n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y a pas lieu d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>examiner le grief tiré de l</w:t>
      </w:r>
      <w:r w:rsidR="000142AB" w:rsidRPr="000142AB">
        <w:rPr>
          <w:lang w:val="fr-FR"/>
        </w:rPr>
        <w:t>’</w:t>
      </w:r>
      <w:r w:rsidR="00E77CB3" w:rsidRPr="000142AB">
        <w:rPr>
          <w:lang w:val="fr-FR"/>
        </w:rPr>
        <w:t xml:space="preserve">article </w:t>
      </w:r>
      <w:r w:rsidR="00B52926" w:rsidRPr="000142AB">
        <w:rPr>
          <w:lang w:val="fr-FR"/>
        </w:rPr>
        <w:t>13</w:t>
      </w:r>
      <w:r w:rsidR="00E77CB3" w:rsidRPr="000142AB">
        <w:rPr>
          <w:lang w:val="fr-FR"/>
        </w:rPr>
        <w:t xml:space="preserve"> de la Convention ;</w:t>
      </w:r>
    </w:p>
    <w:p w:rsidR="00976D2C" w:rsidRPr="000142AB" w:rsidRDefault="00976D2C" w:rsidP="000142AB">
      <w:pPr>
        <w:pStyle w:val="JuList"/>
        <w:rPr>
          <w:lang w:val="fr-FR"/>
        </w:rPr>
      </w:pPr>
    </w:p>
    <w:p w:rsidR="00EB5332" w:rsidRPr="000142AB" w:rsidRDefault="00355E55" w:rsidP="000142AB">
      <w:pPr>
        <w:pStyle w:val="JuList"/>
        <w:rPr>
          <w:lang w:val="fr-FR"/>
        </w:rPr>
      </w:pPr>
      <w:r w:rsidRPr="000142AB">
        <w:rPr>
          <w:lang w:val="fr-FR"/>
        </w:rPr>
        <w:t>4</w:t>
      </w:r>
      <w:r w:rsidR="00E77CB3" w:rsidRPr="000142AB">
        <w:rPr>
          <w:lang w:val="fr-FR"/>
        </w:rPr>
        <w:t>.  </w:t>
      </w:r>
      <w:r w:rsidR="00E77CB3" w:rsidRPr="000142AB">
        <w:rPr>
          <w:i/>
          <w:lang w:val="fr-FR"/>
        </w:rPr>
        <w:t>Dit</w:t>
      </w:r>
      <w:r w:rsidR="00497B6D" w:rsidRPr="000142AB">
        <w:rPr>
          <w:lang w:val="fr-FR"/>
        </w:rPr>
        <w:t>,</w:t>
      </w:r>
    </w:p>
    <w:p w:rsidR="00BF67D8" w:rsidRPr="000142AB" w:rsidRDefault="00BF67D8" w:rsidP="000142AB">
      <w:pPr>
        <w:pStyle w:val="JuLista"/>
        <w:rPr>
          <w:lang w:val="fr-FR"/>
        </w:rPr>
      </w:pPr>
      <w:r w:rsidRPr="000142AB">
        <w:rPr>
          <w:lang w:val="fr-FR"/>
        </w:rPr>
        <w:t>a)  que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État défendeur doit verser à la requérante, dans les trois mois à compter du jour où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 xml:space="preserve">arrêt sera devenu définitif conformément à </w:t>
      </w:r>
      <w:r w:rsidRPr="000142AB">
        <w:rPr>
          <w:lang w:val="fr-FR"/>
        </w:rPr>
        <w:lastRenderedPageBreak/>
        <w:t>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 44 § 2 de la Convention, 20 000 EUR (vingt mille euros), plus tout montant pouvant être dû à titre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impôt, pour dommage moral ;</w:t>
      </w:r>
    </w:p>
    <w:p w:rsidR="00BF67D8" w:rsidRPr="000142AB" w:rsidRDefault="00BF67D8" w:rsidP="000142AB">
      <w:pPr>
        <w:pStyle w:val="JuLista"/>
        <w:rPr>
          <w:lang w:val="fr-FR"/>
        </w:rPr>
      </w:pPr>
      <w:r w:rsidRPr="000142AB">
        <w:rPr>
          <w:lang w:val="fr-FR"/>
        </w:rPr>
        <w:t>b)  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à compter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expiration dudit délai et jusqu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au versement, ce montant sera à majorer d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BF67D8" w:rsidRPr="000142AB" w:rsidRDefault="00BF67D8" w:rsidP="000142AB">
      <w:pPr>
        <w:pStyle w:val="JuList"/>
        <w:ind w:left="0" w:firstLine="0"/>
        <w:rPr>
          <w:lang w:val="fr-FR"/>
        </w:rPr>
      </w:pPr>
    </w:p>
    <w:p w:rsidR="00BF67D8" w:rsidRPr="000142AB" w:rsidRDefault="00BF67D8" w:rsidP="000142AB">
      <w:pPr>
        <w:pStyle w:val="JuList"/>
        <w:rPr>
          <w:lang w:val="fr-FR"/>
        </w:rPr>
      </w:pPr>
      <w:r w:rsidRPr="000142AB">
        <w:rPr>
          <w:lang w:val="fr-FR"/>
        </w:rPr>
        <w:t>5.  </w:t>
      </w:r>
      <w:r w:rsidRPr="000142AB">
        <w:rPr>
          <w:i/>
          <w:lang w:val="fr-FR"/>
        </w:rPr>
        <w:t>Rejette</w:t>
      </w:r>
      <w:r w:rsidRPr="000142AB">
        <w:rPr>
          <w:lang w:val="fr-FR"/>
        </w:rPr>
        <w:t xml:space="preserve"> la demande de satisfaction équitable pour le surplus.</w:t>
      </w:r>
    </w:p>
    <w:p w:rsidR="00E77CB3" w:rsidRPr="000142AB" w:rsidRDefault="00E77CB3" w:rsidP="000142AB">
      <w:pPr>
        <w:pStyle w:val="JuParaLast"/>
        <w:rPr>
          <w:lang w:val="fr-FR"/>
        </w:rPr>
      </w:pPr>
      <w:r w:rsidRPr="000142AB">
        <w:rPr>
          <w:lang w:val="fr-FR"/>
        </w:rPr>
        <w:t>Fait en français, puis communiqué par écrit le </w:t>
      </w:r>
      <w:r w:rsidR="00EB5332" w:rsidRPr="000142AB">
        <w:rPr>
          <w:lang w:val="fr-FR"/>
        </w:rPr>
        <w:t>13 décembre 2018</w:t>
      </w:r>
      <w:r w:rsidRPr="000142AB">
        <w:rPr>
          <w:lang w:val="fr-FR"/>
        </w:rPr>
        <w:t>, en application de l</w:t>
      </w:r>
      <w:r w:rsidR="000142AB" w:rsidRPr="000142AB">
        <w:rPr>
          <w:lang w:val="fr-FR"/>
        </w:rPr>
        <w:t>’</w:t>
      </w:r>
      <w:r w:rsidRPr="000142AB">
        <w:rPr>
          <w:lang w:val="fr-FR"/>
        </w:rPr>
        <w:t>article 77 §§ 2 et 3 du règlement</w:t>
      </w:r>
      <w:r w:rsidR="00AC0824" w:rsidRPr="000142AB">
        <w:rPr>
          <w:lang w:val="fr-FR"/>
        </w:rPr>
        <w:t xml:space="preserve"> de la Cour</w:t>
      </w:r>
      <w:r w:rsidRPr="000142AB">
        <w:rPr>
          <w:lang w:val="fr-FR"/>
        </w:rPr>
        <w:t>.</w:t>
      </w:r>
    </w:p>
    <w:p w:rsidR="004D15F3" w:rsidRPr="000142AB" w:rsidRDefault="00497B6D" w:rsidP="000142AB">
      <w:pPr>
        <w:pStyle w:val="JuSigned"/>
        <w:tabs>
          <w:tab w:val="clear" w:pos="6407"/>
          <w:tab w:val="center" w:pos="6096"/>
        </w:tabs>
        <w:rPr>
          <w:lang w:val="fr-FR"/>
        </w:rPr>
      </w:pPr>
      <w:r w:rsidRPr="000142AB">
        <w:rPr>
          <w:lang w:val="fr-FR"/>
        </w:rPr>
        <w:tab/>
        <w:t>Abel Campos</w:t>
      </w:r>
      <w:r w:rsidR="00E77CB3" w:rsidRPr="000142AB">
        <w:rPr>
          <w:lang w:val="fr-FR"/>
        </w:rPr>
        <w:tab/>
      </w:r>
      <w:r w:rsidRPr="000142AB">
        <w:rPr>
          <w:szCs w:val="24"/>
          <w:lang w:val="fr-FR"/>
        </w:rPr>
        <w:t>Linos-Alexandre Sicilianos</w:t>
      </w:r>
      <w:r w:rsidR="00E77CB3" w:rsidRPr="000142AB">
        <w:rPr>
          <w:lang w:val="fr-FR"/>
        </w:rPr>
        <w:br/>
      </w:r>
      <w:r w:rsidR="00E77CB3" w:rsidRPr="000142AB">
        <w:rPr>
          <w:lang w:val="fr-FR"/>
        </w:rPr>
        <w:tab/>
      </w:r>
      <w:r w:rsidRPr="000142AB">
        <w:rPr>
          <w:lang w:val="fr-FR"/>
        </w:rPr>
        <w:t>Greffier</w:t>
      </w:r>
      <w:r w:rsidR="00E77CB3" w:rsidRPr="000142AB">
        <w:rPr>
          <w:lang w:val="fr-FR"/>
        </w:rPr>
        <w:tab/>
      </w:r>
      <w:r w:rsidRPr="000142AB">
        <w:rPr>
          <w:lang w:val="fr-FR"/>
        </w:rPr>
        <w:t>Président</w:t>
      </w:r>
    </w:p>
    <w:sectPr w:rsidR="004D15F3" w:rsidRPr="000142AB" w:rsidSect="00D323B2">
      <w:headerReference w:type="even" r:id="rId15"/>
      <w:head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CA" w:rsidRPr="0019607A" w:rsidRDefault="00FA25CA" w:rsidP="00E77CB3">
      <w:pPr>
        <w:rPr>
          <w:lang w:val="fr-FR"/>
        </w:rPr>
      </w:pPr>
      <w:r w:rsidRPr="0019607A">
        <w:rPr>
          <w:lang w:val="fr-FR"/>
        </w:rPr>
        <w:separator/>
      </w:r>
    </w:p>
  </w:endnote>
  <w:endnote w:type="continuationSeparator" w:id="0">
    <w:p w:rsidR="00FA25CA" w:rsidRPr="0019607A" w:rsidRDefault="00FA25CA" w:rsidP="00E77CB3">
      <w:pPr>
        <w:rPr>
          <w:lang w:val="fr-FR"/>
        </w:rPr>
      </w:pPr>
      <w:r w:rsidRPr="0019607A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B2" w:rsidRPr="00150BFA" w:rsidRDefault="00D323B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D2F11AA" wp14:editId="01C56BFF">
          <wp:extent cx="771525" cy="619125"/>
          <wp:effectExtent l="0" t="0" r="9525" b="9525"/>
          <wp:docPr id="21" name="Picture 2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CA" w:rsidRPr="0019607A" w:rsidRDefault="00FA25CA" w:rsidP="00E77CB3">
      <w:pPr>
        <w:rPr>
          <w:lang w:val="fr-FR"/>
        </w:rPr>
      </w:pPr>
      <w:r w:rsidRPr="0019607A">
        <w:rPr>
          <w:lang w:val="fr-FR"/>
        </w:rPr>
        <w:separator/>
      </w:r>
    </w:p>
  </w:footnote>
  <w:footnote w:type="continuationSeparator" w:id="0">
    <w:p w:rsidR="00FA25CA" w:rsidRPr="0019607A" w:rsidRDefault="00FA25CA" w:rsidP="00E77CB3">
      <w:pPr>
        <w:rPr>
          <w:lang w:val="fr-FR"/>
        </w:rPr>
      </w:pPr>
      <w:r w:rsidRPr="0019607A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8A" w:rsidRPr="00D323B2" w:rsidRDefault="00DC7D8A" w:rsidP="00D323B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B2" w:rsidRPr="00A45145" w:rsidRDefault="00D323B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00CAC0D" wp14:editId="113158F9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3B2" w:rsidRDefault="00D323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B2" w:rsidRPr="0019607A" w:rsidRDefault="00D323B2" w:rsidP="00C611D8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F14467">
      <w:rPr>
        <w:rStyle w:val="Numeropagina"/>
        <w:noProof/>
        <w:lang w:val="fr-FR"/>
      </w:rPr>
      <w:t>14</w:t>
    </w:r>
    <w:r>
      <w:rPr>
        <w:rStyle w:val="Numeropagina"/>
        <w:lang w:val="fr-FR"/>
      </w:rPr>
      <w:fldChar w:fldCharType="end"/>
    </w:r>
    <w:r w:rsidRPr="0019607A">
      <w:rPr>
        <w:rStyle w:val="Numeropagina"/>
        <w:lang w:val="fr-FR"/>
      </w:rPr>
      <w:tab/>
    </w:r>
    <w:r>
      <w:rPr>
        <w:noProof/>
        <w:lang w:val="fr-FR"/>
      </w:rPr>
      <w:t>ARRÊT</w:t>
    </w:r>
    <w:r w:rsidRPr="0019607A">
      <w:rPr>
        <w:lang w:val="fr-FR"/>
      </w:rPr>
      <w:t xml:space="preserve"> </w:t>
    </w:r>
    <w:r>
      <w:rPr>
        <w:lang w:val="fr-FR"/>
      </w:rPr>
      <w:t>CASA DI CURA VALLE FIORITA S</w:t>
    </w:r>
    <w:r w:rsidR="004D5617">
      <w:rPr>
        <w:lang w:val="fr-FR"/>
      </w:rPr>
      <w:t>.</w:t>
    </w:r>
    <w:r w:rsidR="001D2645">
      <w:rPr>
        <w:lang w:val="fr-FR"/>
      </w:rPr>
      <w:t>R</w:t>
    </w:r>
    <w:r w:rsidR="004D5617">
      <w:rPr>
        <w:lang w:val="fr-FR"/>
      </w:rPr>
      <w:t>.</w:t>
    </w:r>
    <w:r w:rsidR="001D2645">
      <w:rPr>
        <w:lang w:val="fr-FR"/>
      </w:rPr>
      <w:t>L</w:t>
    </w:r>
    <w:r w:rsidR="004D5617">
      <w:rPr>
        <w:lang w:val="fr-FR"/>
      </w:rPr>
      <w:t>.</w:t>
    </w:r>
    <w:r>
      <w:rPr>
        <w:lang w:val="fr-FR"/>
      </w:rPr>
      <w:t xml:space="preserve"> c. ITALIE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B2" w:rsidRPr="0019607A" w:rsidRDefault="00D323B2" w:rsidP="00C63990">
    <w:pPr>
      <w:pStyle w:val="ECHRHeader"/>
      <w:rPr>
        <w:lang w:val="fr-FR"/>
      </w:rPr>
    </w:pPr>
    <w:r w:rsidRPr="0019607A">
      <w:rPr>
        <w:lang w:val="fr-FR"/>
      </w:rPr>
      <w:tab/>
    </w:r>
    <w:r>
      <w:rPr>
        <w:noProof/>
        <w:lang w:val="fr-FR"/>
      </w:rPr>
      <w:t>ARRÊT</w:t>
    </w:r>
    <w:r w:rsidRPr="00D62E9B">
      <w:rPr>
        <w:lang w:val="fr-FR"/>
      </w:rPr>
      <w:t xml:space="preserve"> CASA DI CURA VALLE FIORITA </w:t>
    </w:r>
    <w:r w:rsidR="001D2645">
      <w:rPr>
        <w:lang w:val="fr-FR"/>
      </w:rPr>
      <w:t>S</w:t>
    </w:r>
    <w:r w:rsidR="00FB648D">
      <w:rPr>
        <w:lang w:val="fr-FR"/>
      </w:rPr>
      <w:t>.</w:t>
    </w:r>
    <w:r w:rsidR="001D2645">
      <w:rPr>
        <w:lang w:val="fr-FR"/>
      </w:rPr>
      <w:t>R</w:t>
    </w:r>
    <w:r w:rsidR="00FB648D">
      <w:rPr>
        <w:lang w:val="fr-FR"/>
      </w:rPr>
      <w:t>.</w:t>
    </w:r>
    <w:r w:rsidR="001D2645">
      <w:rPr>
        <w:lang w:val="fr-FR"/>
      </w:rPr>
      <w:t>L</w:t>
    </w:r>
    <w:r w:rsidR="00FB648D">
      <w:rPr>
        <w:lang w:val="fr-FR"/>
      </w:rPr>
      <w:t>.</w:t>
    </w:r>
    <w:r w:rsidRPr="00CB5CBB">
      <w:rPr>
        <w:lang w:val="fr-FR"/>
      </w:rPr>
      <w:t xml:space="preserve"> c. ITALIE</w:t>
    </w:r>
    <w:r w:rsidRPr="00CB5CBB">
      <w:rPr>
        <w:lang w:val="fr-FR"/>
      </w:rPr>
      <w:tab/>
    </w:r>
    <w:r w:rsidRPr="00CB5CBB">
      <w:rPr>
        <w:rStyle w:val="Numeropagina"/>
        <w:lang w:val="fr-FR"/>
      </w:rPr>
      <w:fldChar w:fldCharType="begin"/>
    </w:r>
    <w:r w:rsidRPr="00CB5CBB">
      <w:rPr>
        <w:rStyle w:val="Numeropagina"/>
        <w:lang w:val="fr-FR"/>
      </w:rPr>
      <w:instrText xml:space="preserve"> PAGE </w:instrText>
    </w:r>
    <w:r w:rsidRPr="00CB5CBB">
      <w:rPr>
        <w:rStyle w:val="Numeropagina"/>
        <w:lang w:val="fr-FR"/>
      </w:rPr>
      <w:fldChar w:fldCharType="separate"/>
    </w:r>
    <w:r w:rsidR="00F14467">
      <w:rPr>
        <w:rStyle w:val="Numeropagina"/>
        <w:noProof/>
        <w:lang w:val="fr-FR"/>
      </w:rPr>
      <w:t>13</w:t>
    </w:r>
    <w:r w:rsidRPr="00CB5CBB">
      <w:rPr>
        <w:rStyle w:val="Numeropagina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D7306C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497B6D"/>
    <w:rsid w:val="00002763"/>
    <w:rsid w:val="000041F8"/>
    <w:rsid w:val="000042A8"/>
    <w:rsid w:val="00004308"/>
    <w:rsid w:val="00005BF0"/>
    <w:rsid w:val="00007154"/>
    <w:rsid w:val="000103AE"/>
    <w:rsid w:val="000104DF"/>
    <w:rsid w:val="00011634"/>
    <w:rsid w:val="00011D69"/>
    <w:rsid w:val="00012AD3"/>
    <w:rsid w:val="000142AB"/>
    <w:rsid w:val="00014600"/>
    <w:rsid w:val="00015130"/>
    <w:rsid w:val="00015C2D"/>
    <w:rsid w:val="00015F00"/>
    <w:rsid w:val="0001741F"/>
    <w:rsid w:val="00022C1D"/>
    <w:rsid w:val="00023CAD"/>
    <w:rsid w:val="00025879"/>
    <w:rsid w:val="00031347"/>
    <w:rsid w:val="00034987"/>
    <w:rsid w:val="00035334"/>
    <w:rsid w:val="000365DC"/>
    <w:rsid w:val="000368D9"/>
    <w:rsid w:val="00040717"/>
    <w:rsid w:val="00043A74"/>
    <w:rsid w:val="00046C9B"/>
    <w:rsid w:val="00051DF3"/>
    <w:rsid w:val="00051E75"/>
    <w:rsid w:val="000562A6"/>
    <w:rsid w:val="000602DF"/>
    <w:rsid w:val="00060790"/>
    <w:rsid w:val="0006105A"/>
    <w:rsid w:val="00061415"/>
    <w:rsid w:val="00061B05"/>
    <w:rsid w:val="000632D5"/>
    <w:rsid w:val="000634D3"/>
    <w:rsid w:val="000644EE"/>
    <w:rsid w:val="00066A71"/>
    <w:rsid w:val="00073E7E"/>
    <w:rsid w:val="00086390"/>
    <w:rsid w:val="00087A71"/>
    <w:rsid w:val="000925AD"/>
    <w:rsid w:val="0009413E"/>
    <w:rsid w:val="000962BE"/>
    <w:rsid w:val="000976C8"/>
    <w:rsid w:val="000A02D7"/>
    <w:rsid w:val="000A24EB"/>
    <w:rsid w:val="000A381F"/>
    <w:rsid w:val="000A4340"/>
    <w:rsid w:val="000B1944"/>
    <w:rsid w:val="000B1B08"/>
    <w:rsid w:val="000B280B"/>
    <w:rsid w:val="000B39FC"/>
    <w:rsid w:val="000B49B6"/>
    <w:rsid w:val="000B4D8A"/>
    <w:rsid w:val="000B6923"/>
    <w:rsid w:val="000B7702"/>
    <w:rsid w:val="000C5F3C"/>
    <w:rsid w:val="000C6DCC"/>
    <w:rsid w:val="000D0DC0"/>
    <w:rsid w:val="000D47AA"/>
    <w:rsid w:val="000D648F"/>
    <w:rsid w:val="000D6EF5"/>
    <w:rsid w:val="000D721F"/>
    <w:rsid w:val="000E069B"/>
    <w:rsid w:val="000E0E82"/>
    <w:rsid w:val="000E1DC5"/>
    <w:rsid w:val="000E1E77"/>
    <w:rsid w:val="000E223F"/>
    <w:rsid w:val="000E2DD4"/>
    <w:rsid w:val="000E41B2"/>
    <w:rsid w:val="000E5A6B"/>
    <w:rsid w:val="000E7D45"/>
    <w:rsid w:val="000E7FD5"/>
    <w:rsid w:val="000F00EF"/>
    <w:rsid w:val="000F48ED"/>
    <w:rsid w:val="000F7851"/>
    <w:rsid w:val="00104E23"/>
    <w:rsid w:val="00111B0C"/>
    <w:rsid w:val="00114FD9"/>
    <w:rsid w:val="00115DB8"/>
    <w:rsid w:val="00116D88"/>
    <w:rsid w:val="00116DC2"/>
    <w:rsid w:val="00120D6C"/>
    <w:rsid w:val="001212EC"/>
    <w:rsid w:val="00121701"/>
    <w:rsid w:val="001257EC"/>
    <w:rsid w:val="00125FEA"/>
    <w:rsid w:val="001272AB"/>
    <w:rsid w:val="00132695"/>
    <w:rsid w:val="00133D33"/>
    <w:rsid w:val="00134D64"/>
    <w:rsid w:val="00135A30"/>
    <w:rsid w:val="00135E51"/>
    <w:rsid w:val="0013612C"/>
    <w:rsid w:val="001376D3"/>
    <w:rsid w:val="00137FF6"/>
    <w:rsid w:val="00141650"/>
    <w:rsid w:val="00141CFC"/>
    <w:rsid w:val="00142E77"/>
    <w:rsid w:val="001438AE"/>
    <w:rsid w:val="001445A3"/>
    <w:rsid w:val="001516A3"/>
    <w:rsid w:val="00153B7E"/>
    <w:rsid w:val="00156808"/>
    <w:rsid w:val="0016174F"/>
    <w:rsid w:val="001619D7"/>
    <w:rsid w:val="00162A12"/>
    <w:rsid w:val="00163CB4"/>
    <w:rsid w:val="00164257"/>
    <w:rsid w:val="001648AF"/>
    <w:rsid w:val="00166530"/>
    <w:rsid w:val="00166996"/>
    <w:rsid w:val="001723FD"/>
    <w:rsid w:val="001733BA"/>
    <w:rsid w:val="00182055"/>
    <w:rsid w:val="001832BD"/>
    <w:rsid w:val="00185F44"/>
    <w:rsid w:val="00190B59"/>
    <w:rsid w:val="001943B5"/>
    <w:rsid w:val="00195134"/>
    <w:rsid w:val="001951E9"/>
    <w:rsid w:val="0019607A"/>
    <w:rsid w:val="00196FD0"/>
    <w:rsid w:val="001A05CB"/>
    <w:rsid w:val="001A067B"/>
    <w:rsid w:val="001A145B"/>
    <w:rsid w:val="001A3EC5"/>
    <w:rsid w:val="001A3EF2"/>
    <w:rsid w:val="001A674C"/>
    <w:rsid w:val="001B3B24"/>
    <w:rsid w:val="001B7588"/>
    <w:rsid w:val="001B7851"/>
    <w:rsid w:val="001C0F98"/>
    <w:rsid w:val="001C2A42"/>
    <w:rsid w:val="001C3531"/>
    <w:rsid w:val="001C41FA"/>
    <w:rsid w:val="001D2645"/>
    <w:rsid w:val="001D2CEA"/>
    <w:rsid w:val="001D5334"/>
    <w:rsid w:val="001D63ED"/>
    <w:rsid w:val="001D7348"/>
    <w:rsid w:val="001E035B"/>
    <w:rsid w:val="001E0961"/>
    <w:rsid w:val="001E0B6D"/>
    <w:rsid w:val="001E1824"/>
    <w:rsid w:val="001E3708"/>
    <w:rsid w:val="001E3A3B"/>
    <w:rsid w:val="001E3EAE"/>
    <w:rsid w:val="001E4E25"/>
    <w:rsid w:val="001E630B"/>
    <w:rsid w:val="001E6F32"/>
    <w:rsid w:val="001F1B3D"/>
    <w:rsid w:val="001F2145"/>
    <w:rsid w:val="001F4BC4"/>
    <w:rsid w:val="001F4E43"/>
    <w:rsid w:val="001F60C9"/>
    <w:rsid w:val="001F6262"/>
    <w:rsid w:val="001F67B0"/>
    <w:rsid w:val="001F6F11"/>
    <w:rsid w:val="001F7281"/>
    <w:rsid w:val="001F7B3D"/>
    <w:rsid w:val="001F7F25"/>
    <w:rsid w:val="002031A7"/>
    <w:rsid w:val="00203325"/>
    <w:rsid w:val="00205F9F"/>
    <w:rsid w:val="002064A1"/>
    <w:rsid w:val="0020759D"/>
    <w:rsid w:val="002079E6"/>
    <w:rsid w:val="00210338"/>
    <w:rsid w:val="0021037A"/>
    <w:rsid w:val="002114A4"/>
    <w:rsid w:val="002115FC"/>
    <w:rsid w:val="002136A8"/>
    <w:rsid w:val="00213A89"/>
    <w:rsid w:val="0021423C"/>
    <w:rsid w:val="0021463B"/>
    <w:rsid w:val="0021467C"/>
    <w:rsid w:val="0021486E"/>
    <w:rsid w:val="00214B49"/>
    <w:rsid w:val="00220F06"/>
    <w:rsid w:val="002217FC"/>
    <w:rsid w:val="00230D00"/>
    <w:rsid w:val="00231DF7"/>
    <w:rsid w:val="00231FD1"/>
    <w:rsid w:val="0023254E"/>
    <w:rsid w:val="002334BB"/>
    <w:rsid w:val="002339E0"/>
    <w:rsid w:val="00233C21"/>
    <w:rsid w:val="00233CF8"/>
    <w:rsid w:val="0023575D"/>
    <w:rsid w:val="00237148"/>
    <w:rsid w:val="00237ECD"/>
    <w:rsid w:val="0024222D"/>
    <w:rsid w:val="0024293C"/>
    <w:rsid w:val="00243432"/>
    <w:rsid w:val="00244504"/>
    <w:rsid w:val="00244B0E"/>
    <w:rsid w:val="00244F6C"/>
    <w:rsid w:val="00246ABB"/>
    <w:rsid w:val="00246E78"/>
    <w:rsid w:val="00250C87"/>
    <w:rsid w:val="00252018"/>
    <w:rsid w:val="002532C5"/>
    <w:rsid w:val="00260C03"/>
    <w:rsid w:val="0026328D"/>
    <w:rsid w:val="0026540E"/>
    <w:rsid w:val="00271B2C"/>
    <w:rsid w:val="00272DD4"/>
    <w:rsid w:val="00275123"/>
    <w:rsid w:val="00282240"/>
    <w:rsid w:val="00287C06"/>
    <w:rsid w:val="00291379"/>
    <w:rsid w:val="00291922"/>
    <w:rsid w:val="00292902"/>
    <w:rsid w:val="002948AD"/>
    <w:rsid w:val="00294D4B"/>
    <w:rsid w:val="002A01CC"/>
    <w:rsid w:val="002A2C6F"/>
    <w:rsid w:val="002A5594"/>
    <w:rsid w:val="002A5873"/>
    <w:rsid w:val="002A61B1"/>
    <w:rsid w:val="002A663C"/>
    <w:rsid w:val="002A7E1F"/>
    <w:rsid w:val="002B14B6"/>
    <w:rsid w:val="002B19AF"/>
    <w:rsid w:val="002B33F8"/>
    <w:rsid w:val="002B38E3"/>
    <w:rsid w:val="002B444B"/>
    <w:rsid w:val="002B5887"/>
    <w:rsid w:val="002B60AA"/>
    <w:rsid w:val="002C0463"/>
    <w:rsid w:val="002C0E27"/>
    <w:rsid w:val="002C1604"/>
    <w:rsid w:val="002C3040"/>
    <w:rsid w:val="002C41E7"/>
    <w:rsid w:val="002D022D"/>
    <w:rsid w:val="002D0DD9"/>
    <w:rsid w:val="002D23B6"/>
    <w:rsid w:val="002D24BB"/>
    <w:rsid w:val="002E02CB"/>
    <w:rsid w:val="002E1D40"/>
    <w:rsid w:val="002E6219"/>
    <w:rsid w:val="002F00FF"/>
    <w:rsid w:val="002F0E9B"/>
    <w:rsid w:val="002F2AF7"/>
    <w:rsid w:val="002F7E1C"/>
    <w:rsid w:val="00301A75"/>
    <w:rsid w:val="00302F70"/>
    <w:rsid w:val="0030336F"/>
    <w:rsid w:val="0030375E"/>
    <w:rsid w:val="003045D9"/>
    <w:rsid w:val="003047F7"/>
    <w:rsid w:val="00312A30"/>
    <w:rsid w:val="003150C7"/>
    <w:rsid w:val="0031575E"/>
    <w:rsid w:val="0031664B"/>
    <w:rsid w:val="003175BA"/>
    <w:rsid w:val="00320F72"/>
    <w:rsid w:val="00323134"/>
    <w:rsid w:val="0032463E"/>
    <w:rsid w:val="003252F0"/>
    <w:rsid w:val="00326224"/>
    <w:rsid w:val="00330E96"/>
    <w:rsid w:val="00334A4F"/>
    <w:rsid w:val="00334D76"/>
    <w:rsid w:val="00336ACE"/>
    <w:rsid w:val="0033711C"/>
    <w:rsid w:val="00337EE4"/>
    <w:rsid w:val="00340FFD"/>
    <w:rsid w:val="00344F1C"/>
    <w:rsid w:val="003459B2"/>
    <w:rsid w:val="00346530"/>
    <w:rsid w:val="00347339"/>
    <w:rsid w:val="003506B1"/>
    <w:rsid w:val="00354F8C"/>
    <w:rsid w:val="00355888"/>
    <w:rsid w:val="00355A82"/>
    <w:rsid w:val="00355E55"/>
    <w:rsid w:val="003561DA"/>
    <w:rsid w:val="00356636"/>
    <w:rsid w:val="00356AC7"/>
    <w:rsid w:val="00360179"/>
    <w:rsid w:val="003609FA"/>
    <w:rsid w:val="00361F8B"/>
    <w:rsid w:val="0036218C"/>
    <w:rsid w:val="00365BF4"/>
    <w:rsid w:val="003710C8"/>
    <w:rsid w:val="003742B8"/>
    <w:rsid w:val="00374D84"/>
    <w:rsid w:val="003750BE"/>
    <w:rsid w:val="00376B8C"/>
    <w:rsid w:val="0037735C"/>
    <w:rsid w:val="00382118"/>
    <w:rsid w:val="00384D70"/>
    <w:rsid w:val="003873C7"/>
    <w:rsid w:val="00387B9D"/>
    <w:rsid w:val="00390294"/>
    <w:rsid w:val="003923A7"/>
    <w:rsid w:val="0039364F"/>
    <w:rsid w:val="00393734"/>
    <w:rsid w:val="00396686"/>
    <w:rsid w:val="0039778E"/>
    <w:rsid w:val="003A1095"/>
    <w:rsid w:val="003A391C"/>
    <w:rsid w:val="003B1CAB"/>
    <w:rsid w:val="003B2146"/>
    <w:rsid w:val="003B2814"/>
    <w:rsid w:val="003B4941"/>
    <w:rsid w:val="003B78B6"/>
    <w:rsid w:val="003C2C4E"/>
    <w:rsid w:val="003C47AC"/>
    <w:rsid w:val="003C4AF8"/>
    <w:rsid w:val="003C4D45"/>
    <w:rsid w:val="003C5714"/>
    <w:rsid w:val="003C6B9F"/>
    <w:rsid w:val="003C6E2A"/>
    <w:rsid w:val="003D0299"/>
    <w:rsid w:val="003D27F8"/>
    <w:rsid w:val="003D434E"/>
    <w:rsid w:val="003D6558"/>
    <w:rsid w:val="003D719F"/>
    <w:rsid w:val="003E3E30"/>
    <w:rsid w:val="003E68A4"/>
    <w:rsid w:val="003E6D80"/>
    <w:rsid w:val="003F05FA"/>
    <w:rsid w:val="003F1691"/>
    <w:rsid w:val="003F244A"/>
    <w:rsid w:val="003F30B8"/>
    <w:rsid w:val="003F3E6C"/>
    <w:rsid w:val="003F4C45"/>
    <w:rsid w:val="003F5F7B"/>
    <w:rsid w:val="003F7D64"/>
    <w:rsid w:val="00402B3A"/>
    <w:rsid w:val="00411B4F"/>
    <w:rsid w:val="00414300"/>
    <w:rsid w:val="0041461C"/>
    <w:rsid w:val="004147EA"/>
    <w:rsid w:val="004161BD"/>
    <w:rsid w:val="004172C0"/>
    <w:rsid w:val="00420C64"/>
    <w:rsid w:val="00424C34"/>
    <w:rsid w:val="00425717"/>
    <w:rsid w:val="00425C67"/>
    <w:rsid w:val="00425C78"/>
    <w:rsid w:val="004265C7"/>
    <w:rsid w:val="00427E7A"/>
    <w:rsid w:val="00432F7D"/>
    <w:rsid w:val="00434EC4"/>
    <w:rsid w:val="00436C49"/>
    <w:rsid w:val="004372B1"/>
    <w:rsid w:val="00443379"/>
    <w:rsid w:val="00444DD1"/>
    <w:rsid w:val="00445366"/>
    <w:rsid w:val="00447F5B"/>
    <w:rsid w:val="0045067D"/>
    <w:rsid w:val="00450797"/>
    <w:rsid w:val="00451525"/>
    <w:rsid w:val="00454CF2"/>
    <w:rsid w:val="00456328"/>
    <w:rsid w:val="00461DB0"/>
    <w:rsid w:val="00462D4F"/>
    <w:rsid w:val="00463926"/>
    <w:rsid w:val="00464C9A"/>
    <w:rsid w:val="00470D88"/>
    <w:rsid w:val="004733CC"/>
    <w:rsid w:val="004741F5"/>
    <w:rsid w:val="00474F3D"/>
    <w:rsid w:val="004763E8"/>
    <w:rsid w:val="00477E3A"/>
    <w:rsid w:val="00482876"/>
    <w:rsid w:val="00483E5F"/>
    <w:rsid w:val="0048443C"/>
    <w:rsid w:val="00485FF9"/>
    <w:rsid w:val="00486811"/>
    <w:rsid w:val="004907F0"/>
    <w:rsid w:val="00490EF3"/>
    <w:rsid w:val="00490F1E"/>
    <w:rsid w:val="0049140B"/>
    <w:rsid w:val="004923A5"/>
    <w:rsid w:val="0049603C"/>
    <w:rsid w:val="00496BFB"/>
    <w:rsid w:val="00497B6D"/>
    <w:rsid w:val="004A04F0"/>
    <w:rsid w:val="004A15C7"/>
    <w:rsid w:val="004A3616"/>
    <w:rsid w:val="004A37E2"/>
    <w:rsid w:val="004A534F"/>
    <w:rsid w:val="004B013B"/>
    <w:rsid w:val="004B112B"/>
    <w:rsid w:val="004B4B0E"/>
    <w:rsid w:val="004B4D30"/>
    <w:rsid w:val="004B5B37"/>
    <w:rsid w:val="004B60C8"/>
    <w:rsid w:val="004B6441"/>
    <w:rsid w:val="004C01E4"/>
    <w:rsid w:val="004C0528"/>
    <w:rsid w:val="004C086C"/>
    <w:rsid w:val="004C12E4"/>
    <w:rsid w:val="004C1F56"/>
    <w:rsid w:val="004C27BC"/>
    <w:rsid w:val="004C3B19"/>
    <w:rsid w:val="004D15F3"/>
    <w:rsid w:val="004D15FE"/>
    <w:rsid w:val="004D200C"/>
    <w:rsid w:val="004D208E"/>
    <w:rsid w:val="004D2195"/>
    <w:rsid w:val="004D2E4C"/>
    <w:rsid w:val="004D5311"/>
    <w:rsid w:val="004D53EA"/>
    <w:rsid w:val="004D5617"/>
    <w:rsid w:val="004D5DCC"/>
    <w:rsid w:val="004E2479"/>
    <w:rsid w:val="004E346F"/>
    <w:rsid w:val="004E4F1E"/>
    <w:rsid w:val="004E5B7A"/>
    <w:rsid w:val="004E5D69"/>
    <w:rsid w:val="004F10AF"/>
    <w:rsid w:val="004F11A4"/>
    <w:rsid w:val="004F2389"/>
    <w:rsid w:val="004F2979"/>
    <w:rsid w:val="004F304D"/>
    <w:rsid w:val="004F5172"/>
    <w:rsid w:val="004F61BE"/>
    <w:rsid w:val="004F66B1"/>
    <w:rsid w:val="004F71F0"/>
    <w:rsid w:val="004F724D"/>
    <w:rsid w:val="004F7AD4"/>
    <w:rsid w:val="00500D3B"/>
    <w:rsid w:val="00501B1E"/>
    <w:rsid w:val="005029CE"/>
    <w:rsid w:val="0050352E"/>
    <w:rsid w:val="00506600"/>
    <w:rsid w:val="00511C07"/>
    <w:rsid w:val="00513E80"/>
    <w:rsid w:val="00514863"/>
    <w:rsid w:val="005148FA"/>
    <w:rsid w:val="00516C19"/>
    <w:rsid w:val="005173A6"/>
    <w:rsid w:val="00517407"/>
    <w:rsid w:val="00520BAA"/>
    <w:rsid w:val="0052233C"/>
    <w:rsid w:val="0052367E"/>
    <w:rsid w:val="00525208"/>
    <w:rsid w:val="005253FE"/>
    <w:rsid w:val="005257A5"/>
    <w:rsid w:val="005264C0"/>
    <w:rsid w:val="00526A8A"/>
    <w:rsid w:val="00531DF2"/>
    <w:rsid w:val="00533242"/>
    <w:rsid w:val="0053659F"/>
    <w:rsid w:val="00543C39"/>
    <w:rsid w:val="005442EE"/>
    <w:rsid w:val="00544B12"/>
    <w:rsid w:val="00544F6E"/>
    <w:rsid w:val="00547353"/>
    <w:rsid w:val="005474E7"/>
    <w:rsid w:val="005512A3"/>
    <w:rsid w:val="005534DA"/>
    <w:rsid w:val="005535EF"/>
    <w:rsid w:val="00553E3F"/>
    <w:rsid w:val="005578CE"/>
    <w:rsid w:val="00560631"/>
    <w:rsid w:val="00562781"/>
    <w:rsid w:val="00566132"/>
    <w:rsid w:val="00566E67"/>
    <w:rsid w:val="0057271C"/>
    <w:rsid w:val="00572845"/>
    <w:rsid w:val="00574C83"/>
    <w:rsid w:val="0058065C"/>
    <w:rsid w:val="0058118A"/>
    <w:rsid w:val="00582A73"/>
    <w:rsid w:val="00592772"/>
    <w:rsid w:val="00594DEF"/>
    <w:rsid w:val="0059574A"/>
    <w:rsid w:val="00595771"/>
    <w:rsid w:val="00596468"/>
    <w:rsid w:val="005A02CB"/>
    <w:rsid w:val="005A1B9B"/>
    <w:rsid w:val="005A2E97"/>
    <w:rsid w:val="005A6751"/>
    <w:rsid w:val="005A7B3D"/>
    <w:rsid w:val="005B092E"/>
    <w:rsid w:val="005B152C"/>
    <w:rsid w:val="005B1EE0"/>
    <w:rsid w:val="005B2B24"/>
    <w:rsid w:val="005B4425"/>
    <w:rsid w:val="005B4B94"/>
    <w:rsid w:val="005B6874"/>
    <w:rsid w:val="005C3B9F"/>
    <w:rsid w:val="005C3EE8"/>
    <w:rsid w:val="005C56B5"/>
    <w:rsid w:val="005D34F9"/>
    <w:rsid w:val="005D4190"/>
    <w:rsid w:val="005D67A3"/>
    <w:rsid w:val="005E086D"/>
    <w:rsid w:val="005E2988"/>
    <w:rsid w:val="005E3085"/>
    <w:rsid w:val="005E3331"/>
    <w:rsid w:val="005E33E1"/>
    <w:rsid w:val="005E3412"/>
    <w:rsid w:val="005E37C6"/>
    <w:rsid w:val="005E3F80"/>
    <w:rsid w:val="005E4429"/>
    <w:rsid w:val="005F2772"/>
    <w:rsid w:val="005F4979"/>
    <w:rsid w:val="005F4B70"/>
    <w:rsid w:val="005F51E1"/>
    <w:rsid w:val="005F57AF"/>
    <w:rsid w:val="0060251F"/>
    <w:rsid w:val="006030E2"/>
    <w:rsid w:val="0060640A"/>
    <w:rsid w:val="00607CB5"/>
    <w:rsid w:val="00611C80"/>
    <w:rsid w:val="00612094"/>
    <w:rsid w:val="006129C3"/>
    <w:rsid w:val="00612FF8"/>
    <w:rsid w:val="00617E0D"/>
    <w:rsid w:val="00620692"/>
    <w:rsid w:val="00622FFC"/>
    <w:rsid w:val="00624283"/>
    <w:rsid w:val="006242CA"/>
    <w:rsid w:val="00624D4E"/>
    <w:rsid w:val="00624DC7"/>
    <w:rsid w:val="0062640F"/>
    <w:rsid w:val="00627507"/>
    <w:rsid w:val="00633717"/>
    <w:rsid w:val="006344E1"/>
    <w:rsid w:val="0063584B"/>
    <w:rsid w:val="00636D8D"/>
    <w:rsid w:val="006412C8"/>
    <w:rsid w:val="00641AB5"/>
    <w:rsid w:val="00641E8E"/>
    <w:rsid w:val="00646454"/>
    <w:rsid w:val="00652917"/>
    <w:rsid w:val="0065298D"/>
    <w:rsid w:val="006545C4"/>
    <w:rsid w:val="006608EE"/>
    <w:rsid w:val="006609EC"/>
    <w:rsid w:val="00661971"/>
    <w:rsid w:val="00661CE8"/>
    <w:rsid w:val="006623D9"/>
    <w:rsid w:val="0066550C"/>
    <w:rsid w:val="00667B26"/>
    <w:rsid w:val="00667EFE"/>
    <w:rsid w:val="00670738"/>
    <w:rsid w:val="006716F2"/>
    <w:rsid w:val="00675321"/>
    <w:rsid w:val="006754C3"/>
    <w:rsid w:val="00682514"/>
    <w:rsid w:val="00682BF2"/>
    <w:rsid w:val="006859CE"/>
    <w:rsid w:val="00687427"/>
    <w:rsid w:val="00687B59"/>
    <w:rsid w:val="00691270"/>
    <w:rsid w:val="006912CC"/>
    <w:rsid w:val="0069183E"/>
    <w:rsid w:val="00691977"/>
    <w:rsid w:val="00694A2E"/>
    <w:rsid w:val="00694BA8"/>
    <w:rsid w:val="00697443"/>
    <w:rsid w:val="006A037C"/>
    <w:rsid w:val="006A36F4"/>
    <w:rsid w:val="006A406F"/>
    <w:rsid w:val="006A5D3A"/>
    <w:rsid w:val="006A7361"/>
    <w:rsid w:val="006B09CE"/>
    <w:rsid w:val="006B3373"/>
    <w:rsid w:val="006B3AE7"/>
    <w:rsid w:val="006B5139"/>
    <w:rsid w:val="006B5C0D"/>
    <w:rsid w:val="006B63B1"/>
    <w:rsid w:val="006B6669"/>
    <w:rsid w:val="006B6C99"/>
    <w:rsid w:val="006C14E0"/>
    <w:rsid w:val="006C1BCB"/>
    <w:rsid w:val="006C23D4"/>
    <w:rsid w:val="006C2EDA"/>
    <w:rsid w:val="006C5699"/>
    <w:rsid w:val="006C64BE"/>
    <w:rsid w:val="006C7BB0"/>
    <w:rsid w:val="006D3237"/>
    <w:rsid w:val="006D4616"/>
    <w:rsid w:val="006E2E37"/>
    <w:rsid w:val="006E3CF1"/>
    <w:rsid w:val="006E54CA"/>
    <w:rsid w:val="006E7B65"/>
    <w:rsid w:val="006E7E80"/>
    <w:rsid w:val="006F082F"/>
    <w:rsid w:val="006F48CA"/>
    <w:rsid w:val="006F5C08"/>
    <w:rsid w:val="006F64DD"/>
    <w:rsid w:val="006F7596"/>
    <w:rsid w:val="0070095C"/>
    <w:rsid w:val="007077FF"/>
    <w:rsid w:val="00711B9F"/>
    <w:rsid w:val="00713723"/>
    <w:rsid w:val="00715127"/>
    <w:rsid w:val="00715E8E"/>
    <w:rsid w:val="00716798"/>
    <w:rsid w:val="00723580"/>
    <w:rsid w:val="00723755"/>
    <w:rsid w:val="00726EDD"/>
    <w:rsid w:val="0073048B"/>
    <w:rsid w:val="0073136C"/>
    <w:rsid w:val="00731E1B"/>
    <w:rsid w:val="00731F0F"/>
    <w:rsid w:val="00733250"/>
    <w:rsid w:val="0073329B"/>
    <w:rsid w:val="00734866"/>
    <w:rsid w:val="0073524B"/>
    <w:rsid w:val="00736AFE"/>
    <w:rsid w:val="00736FA1"/>
    <w:rsid w:val="007411CE"/>
    <w:rsid w:val="00741404"/>
    <w:rsid w:val="00741D9C"/>
    <w:rsid w:val="007449E5"/>
    <w:rsid w:val="00747196"/>
    <w:rsid w:val="00747FF0"/>
    <w:rsid w:val="007513B3"/>
    <w:rsid w:val="007518FC"/>
    <w:rsid w:val="0075652F"/>
    <w:rsid w:val="00763316"/>
    <w:rsid w:val="00763B5F"/>
    <w:rsid w:val="00764D4E"/>
    <w:rsid w:val="00765A1F"/>
    <w:rsid w:val="00766810"/>
    <w:rsid w:val="00767DA1"/>
    <w:rsid w:val="00771CC6"/>
    <w:rsid w:val="00775B6D"/>
    <w:rsid w:val="00776D68"/>
    <w:rsid w:val="00780824"/>
    <w:rsid w:val="00782FCD"/>
    <w:rsid w:val="0078319E"/>
    <w:rsid w:val="0078412E"/>
    <w:rsid w:val="007850EE"/>
    <w:rsid w:val="00785B95"/>
    <w:rsid w:val="007861B1"/>
    <w:rsid w:val="0078683F"/>
    <w:rsid w:val="00787FA3"/>
    <w:rsid w:val="00790E96"/>
    <w:rsid w:val="00793366"/>
    <w:rsid w:val="00794959"/>
    <w:rsid w:val="007952DA"/>
    <w:rsid w:val="007A0725"/>
    <w:rsid w:val="007A24AC"/>
    <w:rsid w:val="007A716F"/>
    <w:rsid w:val="007B1ECF"/>
    <w:rsid w:val="007B270A"/>
    <w:rsid w:val="007B4B56"/>
    <w:rsid w:val="007C0695"/>
    <w:rsid w:val="007C1A5E"/>
    <w:rsid w:val="007C1C7F"/>
    <w:rsid w:val="007C290D"/>
    <w:rsid w:val="007C419A"/>
    <w:rsid w:val="007C48DE"/>
    <w:rsid w:val="007C4CC8"/>
    <w:rsid w:val="007C5300"/>
    <w:rsid w:val="007C5426"/>
    <w:rsid w:val="007C5798"/>
    <w:rsid w:val="007C6D9F"/>
    <w:rsid w:val="007D0613"/>
    <w:rsid w:val="007D1098"/>
    <w:rsid w:val="007D35F9"/>
    <w:rsid w:val="007D4832"/>
    <w:rsid w:val="007D4B6F"/>
    <w:rsid w:val="007D74E2"/>
    <w:rsid w:val="007E21B2"/>
    <w:rsid w:val="007E2C4E"/>
    <w:rsid w:val="007E39AB"/>
    <w:rsid w:val="007E3ED4"/>
    <w:rsid w:val="007E48C2"/>
    <w:rsid w:val="007E4EA6"/>
    <w:rsid w:val="007E5FBE"/>
    <w:rsid w:val="007F1905"/>
    <w:rsid w:val="007F4F51"/>
    <w:rsid w:val="007F7873"/>
    <w:rsid w:val="008002F8"/>
    <w:rsid w:val="00800652"/>
    <w:rsid w:val="00801300"/>
    <w:rsid w:val="00802C64"/>
    <w:rsid w:val="008051DD"/>
    <w:rsid w:val="00805E52"/>
    <w:rsid w:val="008061D0"/>
    <w:rsid w:val="0080746E"/>
    <w:rsid w:val="00810B38"/>
    <w:rsid w:val="008118E2"/>
    <w:rsid w:val="00812BC7"/>
    <w:rsid w:val="00814C14"/>
    <w:rsid w:val="008204C7"/>
    <w:rsid w:val="0082050D"/>
    <w:rsid w:val="00820992"/>
    <w:rsid w:val="00821582"/>
    <w:rsid w:val="008222AD"/>
    <w:rsid w:val="00823602"/>
    <w:rsid w:val="008255F5"/>
    <w:rsid w:val="0083014E"/>
    <w:rsid w:val="0083214A"/>
    <w:rsid w:val="008323C4"/>
    <w:rsid w:val="00834220"/>
    <w:rsid w:val="00835709"/>
    <w:rsid w:val="00835BA8"/>
    <w:rsid w:val="008360B6"/>
    <w:rsid w:val="00837BD2"/>
    <w:rsid w:val="00841556"/>
    <w:rsid w:val="0084351A"/>
    <w:rsid w:val="00843E23"/>
    <w:rsid w:val="00844C8F"/>
    <w:rsid w:val="00844FC8"/>
    <w:rsid w:val="00845723"/>
    <w:rsid w:val="00846930"/>
    <w:rsid w:val="0085072B"/>
    <w:rsid w:val="0085131F"/>
    <w:rsid w:val="00851EF9"/>
    <w:rsid w:val="00852652"/>
    <w:rsid w:val="00852668"/>
    <w:rsid w:val="008577FD"/>
    <w:rsid w:val="00860B03"/>
    <w:rsid w:val="0086166F"/>
    <w:rsid w:val="0086497A"/>
    <w:rsid w:val="00864D31"/>
    <w:rsid w:val="008713A1"/>
    <w:rsid w:val="008714AA"/>
    <w:rsid w:val="008724ED"/>
    <w:rsid w:val="008754AB"/>
    <w:rsid w:val="00875AB3"/>
    <w:rsid w:val="00875FF7"/>
    <w:rsid w:val="0088060C"/>
    <w:rsid w:val="00885057"/>
    <w:rsid w:val="008851E6"/>
    <w:rsid w:val="00885CFD"/>
    <w:rsid w:val="00890023"/>
    <w:rsid w:val="00892156"/>
    <w:rsid w:val="00893576"/>
    <w:rsid w:val="00893E73"/>
    <w:rsid w:val="0089404F"/>
    <w:rsid w:val="008A0E06"/>
    <w:rsid w:val="008A187E"/>
    <w:rsid w:val="008B02DC"/>
    <w:rsid w:val="008B0D4E"/>
    <w:rsid w:val="008B24DC"/>
    <w:rsid w:val="008B28EB"/>
    <w:rsid w:val="008B57CE"/>
    <w:rsid w:val="008C1F56"/>
    <w:rsid w:val="008C26DE"/>
    <w:rsid w:val="008D2225"/>
    <w:rsid w:val="008D4752"/>
    <w:rsid w:val="008D64AE"/>
    <w:rsid w:val="008D7298"/>
    <w:rsid w:val="008D7DD7"/>
    <w:rsid w:val="008E0719"/>
    <w:rsid w:val="008E271C"/>
    <w:rsid w:val="008E418E"/>
    <w:rsid w:val="008E5714"/>
    <w:rsid w:val="008E5BC6"/>
    <w:rsid w:val="008E6674"/>
    <w:rsid w:val="008E6A25"/>
    <w:rsid w:val="008F5193"/>
    <w:rsid w:val="009013A7"/>
    <w:rsid w:val="009017FB"/>
    <w:rsid w:val="009017FC"/>
    <w:rsid w:val="00903E4E"/>
    <w:rsid w:val="0090506B"/>
    <w:rsid w:val="009050C9"/>
    <w:rsid w:val="009066FC"/>
    <w:rsid w:val="00906A22"/>
    <w:rsid w:val="0091179C"/>
    <w:rsid w:val="00913D57"/>
    <w:rsid w:val="009140A3"/>
    <w:rsid w:val="0091449A"/>
    <w:rsid w:val="009144A2"/>
    <w:rsid w:val="0091507E"/>
    <w:rsid w:val="0091510C"/>
    <w:rsid w:val="00915286"/>
    <w:rsid w:val="00916F94"/>
    <w:rsid w:val="00924087"/>
    <w:rsid w:val="009259AC"/>
    <w:rsid w:val="00926AD5"/>
    <w:rsid w:val="00926F38"/>
    <w:rsid w:val="00934301"/>
    <w:rsid w:val="00936C2D"/>
    <w:rsid w:val="00936CD1"/>
    <w:rsid w:val="00936D98"/>
    <w:rsid w:val="00936F7E"/>
    <w:rsid w:val="00941747"/>
    <w:rsid w:val="00941EFB"/>
    <w:rsid w:val="00942C96"/>
    <w:rsid w:val="009471D8"/>
    <w:rsid w:val="00947AFB"/>
    <w:rsid w:val="009505F8"/>
    <w:rsid w:val="0095184E"/>
    <w:rsid w:val="00951D7D"/>
    <w:rsid w:val="00952F92"/>
    <w:rsid w:val="00956987"/>
    <w:rsid w:val="009571E1"/>
    <w:rsid w:val="009630C7"/>
    <w:rsid w:val="0096500C"/>
    <w:rsid w:val="0096683F"/>
    <w:rsid w:val="009677B6"/>
    <w:rsid w:val="00972B55"/>
    <w:rsid w:val="009743B7"/>
    <w:rsid w:val="00975060"/>
    <w:rsid w:val="00976D2C"/>
    <w:rsid w:val="009776A2"/>
    <w:rsid w:val="009820B1"/>
    <w:rsid w:val="0098228B"/>
    <w:rsid w:val="009828DA"/>
    <w:rsid w:val="00985BAB"/>
    <w:rsid w:val="00985EF2"/>
    <w:rsid w:val="009A0030"/>
    <w:rsid w:val="009A22DD"/>
    <w:rsid w:val="009A6A1C"/>
    <w:rsid w:val="009B050E"/>
    <w:rsid w:val="009B1B5F"/>
    <w:rsid w:val="009B486C"/>
    <w:rsid w:val="009B5590"/>
    <w:rsid w:val="009B6673"/>
    <w:rsid w:val="009C1079"/>
    <w:rsid w:val="009C191B"/>
    <w:rsid w:val="009C1F1B"/>
    <w:rsid w:val="009C2BD6"/>
    <w:rsid w:val="009C5881"/>
    <w:rsid w:val="009C5D3D"/>
    <w:rsid w:val="009C7FEB"/>
    <w:rsid w:val="009D06DC"/>
    <w:rsid w:val="009D16B0"/>
    <w:rsid w:val="009D6725"/>
    <w:rsid w:val="009E1F32"/>
    <w:rsid w:val="009E4026"/>
    <w:rsid w:val="009E51C5"/>
    <w:rsid w:val="009E606B"/>
    <w:rsid w:val="009E776C"/>
    <w:rsid w:val="009F0A45"/>
    <w:rsid w:val="009F15C5"/>
    <w:rsid w:val="009F16FB"/>
    <w:rsid w:val="009F173C"/>
    <w:rsid w:val="009F24C5"/>
    <w:rsid w:val="009F4382"/>
    <w:rsid w:val="009F69B9"/>
    <w:rsid w:val="00A00144"/>
    <w:rsid w:val="00A02291"/>
    <w:rsid w:val="00A032DC"/>
    <w:rsid w:val="00A07278"/>
    <w:rsid w:val="00A12368"/>
    <w:rsid w:val="00A126E1"/>
    <w:rsid w:val="00A17202"/>
    <w:rsid w:val="00A1726E"/>
    <w:rsid w:val="00A204CF"/>
    <w:rsid w:val="00A21581"/>
    <w:rsid w:val="00A23D49"/>
    <w:rsid w:val="00A27004"/>
    <w:rsid w:val="00A30C29"/>
    <w:rsid w:val="00A32975"/>
    <w:rsid w:val="00A34DD6"/>
    <w:rsid w:val="00A36819"/>
    <w:rsid w:val="00A36989"/>
    <w:rsid w:val="00A40764"/>
    <w:rsid w:val="00A41090"/>
    <w:rsid w:val="00A43308"/>
    <w:rsid w:val="00A43628"/>
    <w:rsid w:val="00A4396C"/>
    <w:rsid w:val="00A45F93"/>
    <w:rsid w:val="00A54192"/>
    <w:rsid w:val="00A6035E"/>
    <w:rsid w:val="00A6144C"/>
    <w:rsid w:val="00A657E5"/>
    <w:rsid w:val="00A66617"/>
    <w:rsid w:val="00A66C7D"/>
    <w:rsid w:val="00A671F8"/>
    <w:rsid w:val="00A673A4"/>
    <w:rsid w:val="00A67531"/>
    <w:rsid w:val="00A7090E"/>
    <w:rsid w:val="00A724AE"/>
    <w:rsid w:val="00A73329"/>
    <w:rsid w:val="00A74BC1"/>
    <w:rsid w:val="00A77194"/>
    <w:rsid w:val="00A777AC"/>
    <w:rsid w:val="00A82359"/>
    <w:rsid w:val="00A8486D"/>
    <w:rsid w:val="00A865D2"/>
    <w:rsid w:val="00A86E48"/>
    <w:rsid w:val="00A92708"/>
    <w:rsid w:val="00A93EA2"/>
    <w:rsid w:val="00A948BE"/>
    <w:rsid w:val="00A94C20"/>
    <w:rsid w:val="00AA227F"/>
    <w:rsid w:val="00AA3BC7"/>
    <w:rsid w:val="00AA5F76"/>
    <w:rsid w:val="00AA748B"/>
    <w:rsid w:val="00AA754A"/>
    <w:rsid w:val="00AA755B"/>
    <w:rsid w:val="00AB008E"/>
    <w:rsid w:val="00AB099E"/>
    <w:rsid w:val="00AB4328"/>
    <w:rsid w:val="00AB4DDE"/>
    <w:rsid w:val="00AB71BE"/>
    <w:rsid w:val="00AC0824"/>
    <w:rsid w:val="00AC4EBF"/>
    <w:rsid w:val="00AD412E"/>
    <w:rsid w:val="00AD584C"/>
    <w:rsid w:val="00AD5D29"/>
    <w:rsid w:val="00AD5D44"/>
    <w:rsid w:val="00AD655B"/>
    <w:rsid w:val="00AE0A2E"/>
    <w:rsid w:val="00AE135A"/>
    <w:rsid w:val="00AE1874"/>
    <w:rsid w:val="00AE354C"/>
    <w:rsid w:val="00AE3DE9"/>
    <w:rsid w:val="00AE50D6"/>
    <w:rsid w:val="00AE6542"/>
    <w:rsid w:val="00AE66D4"/>
    <w:rsid w:val="00AE7F32"/>
    <w:rsid w:val="00AF2963"/>
    <w:rsid w:val="00AF2C8A"/>
    <w:rsid w:val="00AF3028"/>
    <w:rsid w:val="00AF4B07"/>
    <w:rsid w:val="00AF4C1D"/>
    <w:rsid w:val="00AF5CC8"/>
    <w:rsid w:val="00AF6186"/>
    <w:rsid w:val="00AF7A3A"/>
    <w:rsid w:val="00B01D88"/>
    <w:rsid w:val="00B03994"/>
    <w:rsid w:val="00B07C34"/>
    <w:rsid w:val="00B12A14"/>
    <w:rsid w:val="00B13B52"/>
    <w:rsid w:val="00B1507B"/>
    <w:rsid w:val="00B160DB"/>
    <w:rsid w:val="00B17367"/>
    <w:rsid w:val="00B20836"/>
    <w:rsid w:val="00B22268"/>
    <w:rsid w:val="00B235BB"/>
    <w:rsid w:val="00B23A68"/>
    <w:rsid w:val="00B23D5A"/>
    <w:rsid w:val="00B27A44"/>
    <w:rsid w:val="00B30BBF"/>
    <w:rsid w:val="00B31B82"/>
    <w:rsid w:val="00B33C03"/>
    <w:rsid w:val="00B35C00"/>
    <w:rsid w:val="00B36347"/>
    <w:rsid w:val="00B366CB"/>
    <w:rsid w:val="00B406CC"/>
    <w:rsid w:val="00B414DF"/>
    <w:rsid w:val="00B42F58"/>
    <w:rsid w:val="00B43D51"/>
    <w:rsid w:val="00B44095"/>
    <w:rsid w:val="00B44E56"/>
    <w:rsid w:val="00B46543"/>
    <w:rsid w:val="00B47D33"/>
    <w:rsid w:val="00B52926"/>
    <w:rsid w:val="00B52BE0"/>
    <w:rsid w:val="00B54133"/>
    <w:rsid w:val="00B57B1E"/>
    <w:rsid w:val="00B62BB1"/>
    <w:rsid w:val="00B63279"/>
    <w:rsid w:val="00B6538B"/>
    <w:rsid w:val="00B669F5"/>
    <w:rsid w:val="00B701ED"/>
    <w:rsid w:val="00B73992"/>
    <w:rsid w:val="00B757BA"/>
    <w:rsid w:val="00B76A49"/>
    <w:rsid w:val="00B80201"/>
    <w:rsid w:val="00B803F7"/>
    <w:rsid w:val="00B8086C"/>
    <w:rsid w:val="00B82BEA"/>
    <w:rsid w:val="00B834DD"/>
    <w:rsid w:val="00B85A04"/>
    <w:rsid w:val="00B85B41"/>
    <w:rsid w:val="00B861B4"/>
    <w:rsid w:val="00B86DFE"/>
    <w:rsid w:val="00B90990"/>
    <w:rsid w:val="00B922FF"/>
    <w:rsid w:val="00B9281E"/>
    <w:rsid w:val="00B934C1"/>
    <w:rsid w:val="00B93925"/>
    <w:rsid w:val="00B93ECF"/>
    <w:rsid w:val="00B94BB8"/>
    <w:rsid w:val="00B95187"/>
    <w:rsid w:val="00B95902"/>
    <w:rsid w:val="00B9776F"/>
    <w:rsid w:val="00BA2D55"/>
    <w:rsid w:val="00BA31FB"/>
    <w:rsid w:val="00BA35DE"/>
    <w:rsid w:val="00BA49EF"/>
    <w:rsid w:val="00BA4AEB"/>
    <w:rsid w:val="00BA71B1"/>
    <w:rsid w:val="00BB0637"/>
    <w:rsid w:val="00BB0FB7"/>
    <w:rsid w:val="00BB3255"/>
    <w:rsid w:val="00BB345F"/>
    <w:rsid w:val="00BB68EA"/>
    <w:rsid w:val="00BC13A3"/>
    <w:rsid w:val="00BC1C27"/>
    <w:rsid w:val="00BC247C"/>
    <w:rsid w:val="00BC47F6"/>
    <w:rsid w:val="00BC4A8F"/>
    <w:rsid w:val="00BC6BBF"/>
    <w:rsid w:val="00BD0653"/>
    <w:rsid w:val="00BD1572"/>
    <w:rsid w:val="00BD17EC"/>
    <w:rsid w:val="00BD5569"/>
    <w:rsid w:val="00BE0275"/>
    <w:rsid w:val="00BE12A7"/>
    <w:rsid w:val="00BE14E3"/>
    <w:rsid w:val="00BE1A3E"/>
    <w:rsid w:val="00BE3774"/>
    <w:rsid w:val="00BE3EA0"/>
    <w:rsid w:val="00BE41E5"/>
    <w:rsid w:val="00BF3AA0"/>
    <w:rsid w:val="00BF4109"/>
    <w:rsid w:val="00BF4CC3"/>
    <w:rsid w:val="00BF5450"/>
    <w:rsid w:val="00BF67D8"/>
    <w:rsid w:val="00BF7CAB"/>
    <w:rsid w:val="00C054C7"/>
    <w:rsid w:val="00C057B5"/>
    <w:rsid w:val="00C06C61"/>
    <w:rsid w:val="00C06E15"/>
    <w:rsid w:val="00C1262B"/>
    <w:rsid w:val="00C14ECB"/>
    <w:rsid w:val="00C17E99"/>
    <w:rsid w:val="00C222AC"/>
    <w:rsid w:val="00C22687"/>
    <w:rsid w:val="00C2294D"/>
    <w:rsid w:val="00C238F2"/>
    <w:rsid w:val="00C24185"/>
    <w:rsid w:val="00C30512"/>
    <w:rsid w:val="00C30553"/>
    <w:rsid w:val="00C32E4D"/>
    <w:rsid w:val="00C333A0"/>
    <w:rsid w:val="00C34805"/>
    <w:rsid w:val="00C36408"/>
    <w:rsid w:val="00C36A81"/>
    <w:rsid w:val="00C36A8E"/>
    <w:rsid w:val="00C401B0"/>
    <w:rsid w:val="00C4062E"/>
    <w:rsid w:val="00C41974"/>
    <w:rsid w:val="00C53F4A"/>
    <w:rsid w:val="00C54125"/>
    <w:rsid w:val="00C55B54"/>
    <w:rsid w:val="00C57673"/>
    <w:rsid w:val="00C6098E"/>
    <w:rsid w:val="00C60A12"/>
    <w:rsid w:val="00C611D8"/>
    <w:rsid w:val="00C6152C"/>
    <w:rsid w:val="00C63990"/>
    <w:rsid w:val="00C64EF6"/>
    <w:rsid w:val="00C65050"/>
    <w:rsid w:val="00C6748D"/>
    <w:rsid w:val="00C70C79"/>
    <w:rsid w:val="00C70C8F"/>
    <w:rsid w:val="00C716D8"/>
    <w:rsid w:val="00C74810"/>
    <w:rsid w:val="00C75B57"/>
    <w:rsid w:val="00C77E48"/>
    <w:rsid w:val="00C852F9"/>
    <w:rsid w:val="00C8739E"/>
    <w:rsid w:val="00C90D68"/>
    <w:rsid w:val="00C91601"/>
    <w:rsid w:val="00C91D53"/>
    <w:rsid w:val="00C939FE"/>
    <w:rsid w:val="00C95C7F"/>
    <w:rsid w:val="00CA025D"/>
    <w:rsid w:val="00CA4BDA"/>
    <w:rsid w:val="00CB1F66"/>
    <w:rsid w:val="00CB2951"/>
    <w:rsid w:val="00CB3465"/>
    <w:rsid w:val="00CB3BEF"/>
    <w:rsid w:val="00CB4FAA"/>
    <w:rsid w:val="00CB5CBB"/>
    <w:rsid w:val="00CB6487"/>
    <w:rsid w:val="00CC0C7A"/>
    <w:rsid w:val="00CC3FE5"/>
    <w:rsid w:val="00CC71E6"/>
    <w:rsid w:val="00CC7CCE"/>
    <w:rsid w:val="00CD16F8"/>
    <w:rsid w:val="00CD282B"/>
    <w:rsid w:val="00CD2D71"/>
    <w:rsid w:val="00CD4C35"/>
    <w:rsid w:val="00CD5A64"/>
    <w:rsid w:val="00CD5BEE"/>
    <w:rsid w:val="00CD7369"/>
    <w:rsid w:val="00CE0B0E"/>
    <w:rsid w:val="00CE34F0"/>
    <w:rsid w:val="00CE3831"/>
    <w:rsid w:val="00CE3CC3"/>
    <w:rsid w:val="00CE3F8D"/>
    <w:rsid w:val="00CE5B85"/>
    <w:rsid w:val="00CF0FF5"/>
    <w:rsid w:val="00CF155C"/>
    <w:rsid w:val="00CF1B20"/>
    <w:rsid w:val="00CF3F65"/>
    <w:rsid w:val="00D00ABB"/>
    <w:rsid w:val="00D02EEC"/>
    <w:rsid w:val="00D03551"/>
    <w:rsid w:val="00D06A63"/>
    <w:rsid w:val="00D07086"/>
    <w:rsid w:val="00D07CC4"/>
    <w:rsid w:val="00D07E0E"/>
    <w:rsid w:val="00D10472"/>
    <w:rsid w:val="00D11478"/>
    <w:rsid w:val="00D12FB6"/>
    <w:rsid w:val="00D131E2"/>
    <w:rsid w:val="00D150F6"/>
    <w:rsid w:val="00D15DD4"/>
    <w:rsid w:val="00D15ED0"/>
    <w:rsid w:val="00D21B3E"/>
    <w:rsid w:val="00D21FED"/>
    <w:rsid w:val="00D24251"/>
    <w:rsid w:val="00D250D7"/>
    <w:rsid w:val="00D323B2"/>
    <w:rsid w:val="00D33490"/>
    <w:rsid w:val="00D343E2"/>
    <w:rsid w:val="00D361A2"/>
    <w:rsid w:val="00D37C1F"/>
    <w:rsid w:val="00D402A4"/>
    <w:rsid w:val="00D423B3"/>
    <w:rsid w:val="00D42AFF"/>
    <w:rsid w:val="00D43A7B"/>
    <w:rsid w:val="00D449BC"/>
    <w:rsid w:val="00D44C2E"/>
    <w:rsid w:val="00D45414"/>
    <w:rsid w:val="00D45DDA"/>
    <w:rsid w:val="00D55146"/>
    <w:rsid w:val="00D563ED"/>
    <w:rsid w:val="00D566BD"/>
    <w:rsid w:val="00D576CF"/>
    <w:rsid w:val="00D57A4D"/>
    <w:rsid w:val="00D60AA7"/>
    <w:rsid w:val="00D62E9B"/>
    <w:rsid w:val="00D6367C"/>
    <w:rsid w:val="00D63B2B"/>
    <w:rsid w:val="00D6435F"/>
    <w:rsid w:val="00D7187A"/>
    <w:rsid w:val="00D72E0C"/>
    <w:rsid w:val="00D7588D"/>
    <w:rsid w:val="00D75E28"/>
    <w:rsid w:val="00D76342"/>
    <w:rsid w:val="00D76508"/>
    <w:rsid w:val="00D772C2"/>
    <w:rsid w:val="00D8008E"/>
    <w:rsid w:val="00D8089C"/>
    <w:rsid w:val="00D82C45"/>
    <w:rsid w:val="00D86F32"/>
    <w:rsid w:val="00D908A8"/>
    <w:rsid w:val="00D977B6"/>
    <w:rsid w:val="00DA0219"/>
    <w:rsid w:val="00DA0E7B"/>
    <w:rsid w:val="00DA2DF1"/>
    <w:rsid w:val="00DA301E"/>
    <w:rsid w:val="00DA490A"/>
    <w:rsid w:val="00DA4A31"/>
    <w:rsid w:val="00DA7B04"/>
    <w:rsid w:val="00DB36C2"/>
    <w:rsid w:val="00DB55A0"/>
    <w:rsid w:val="00DB6924"/>
    <w:rsid w:val="00DC169B"/>
    <w:rsid w:val="00DC2AB9"/>
    <w:rsid w:val="00DC2EDB"/>
    <w:rsid w:val="00DC63F0"/>
    <w:rsid w:val="00DC7D8A"/>
    <w:rsid w:val="00DD4AAB"/>
    <w:rsid w:val="00DD5146"/>
    <w:rsid w:val="00DD6EE5"/>
    <w:rsid w:val="00DE386C"/>
    <w:rsid w:val="00DE4D35"/>
    <w:rsid w:val="00DE4E87"/>
    <w:rsid w:val="00DE5650"/>
    <w:rsid w:val="00DE572F"/>
    <w:rsid w:val="00DF098B"/>
    <w:rsid w:val="00DF0BD2"/>
    <w:rsid w:val="00DF11C4"/>
    <w:rsid w:val="00DF210C"/>
    <w:rsid w:val="00DF4B6A"/>
    <w:rsid w:val="00DF5824"/>
    <w:rsid w:val="00E01E65"/>
    <w:rsid w:val="00E02C09"/>
    <w:rsid w:val="00E04D59"/>
    <w:rsid w:val="00E056BF"/>
    <w:rsid w:val="00E0673A"/>
    <w:rsid w:val="00E06AE7"/>
    <w:rsid w:val="00E07DA1"/>
    <w:rsid w:val="00E123CB"/>
    <w:rsid w:val="00E162C7"/>
    <w:rsid w:val="00E16C1B"/>
    <w:rsid w:val="00E177B5"/>
    <w:rsid w:val="00E20E13"/>
    <w:rsid w:val="00E21DBC"/>
    <w:rsid w:val="00E231AC"/>
    <w:rsid w:val="00E23D9C"/>
    <w:rsid w:val="00E275D7"/>
    <w:rsid w:val="00E27DBE"/>
    <w:rsid w:val="00E31471"/>
    <w:rsid w:val="00E31741"/>
    <w:rsid w:val="00E32AB1"/>
    <w:rsid w:val="00E34AB9"/>
    <w:rsid w:val="00E36C71"/>
    <w:rsid w:val="00E373F5"/>
    <w:rsid w:val="00E37C32"/>
    <w:rsid w:val="00E37E07"/>
    <w:rsid w:val="00E40368"/>
    <w:rsid w:val="00E40404"/>
    <w:rsid w:val="00E40595"/>
    <w:rsid w:val="00E41533"/>
    <w:rsid w:val="00E43AC3"/>
    <w:rsid w:val="00E4529A"/>
    <w:rsid w:val="00E459C6"/>
    <w:rsid w:val="00E47589"/>
    <w:rsid w:val="00E47EFD"/>
    <w:rsid w:val="00E60369"/>
    <w:rsid w:val="00E63AAE"/>
    <w:rsid w:val="00E63D87"/>
    <w:rsid w:val="00E64915"/>
    <w:rsid w:val="00E661D4"/>
    <w:rsid w:val="00E70091"/>
    <w:rsid w:val="00E70CC9"/>
    <w:rsid w:val="00E720F5"/>
    <w:rsid w:val="00E74A8E"/>
    <w:rsid w:val="00E76D47"/>
    <w:rsid w:val="00E77CB3"/>
    <w:rsid w:val="00E811CE"/>
    <w:rsid w:val="00E82227"/>
    <w:rsid w:val="00E849F7"/>
    <w:rsid w:val="00E84B0F"/>
    <w:rsid w:val="00E84B5C"/>
    <w:rsid w:val="00E86248"/>
    <w:rsid w:val="00E87FF4"/>
    <w:rsid w:val="00E90034"/>
    <w:rsid w:val="00E90302"/>
    <w:rsid w:val="00E94372"/>
    <w:rsid w:val="00E95A30"/>
    <w:rsid w:val="00E97396"/>
    <w:rsid w:val="00E978D1"/>
    <w:rsid w:val="00E97B2C"/>
    <w:rsid w:val="00EA1203"/>
    <w:rsid w:val="00EA185E"/>
    <w:rsid w:val="00EA1C00"/>
    <w:rsid w:val="00EA26E7"/>
    <w:rsid w:val="00EA592A"/>
    <w:rsid w:val="00EB0AB4"/>
    <w:rsid w:val="00EB0B14"/>
    <w:rsid w:val="00EB14E4"/>
    <w:rsid w:val="00EB2716"/>
    <w:rsid w:val="00EB32A5"/>
    <w:rsid w:val="00EB34ED"/>
    <w:rsid w:val="00EB355E"/>
    <w:rsid w:val="00EB5332"/>
    <w:rsid w:val="00EB6D10"/>
    <w:rsid w:val="00EB6FEA"/>
    <w:rsid w:val="00EB7BE0"/>
    <w:rsid w:val="00EB7E63"/>
    <w:rsid w:val="00EC0A56"/>
    <w:rsid w:val="00EC29BD"/>
    <w:rsid w:val="00EC315E"/>
    <w:rsid w:val="00EC47D2"/>
    <w:rsid w:val="00EC582F"/>
    <w:rsid w:val="00ED077C"/>
    <w:rsid w:val="00ED1190"/>
    <w:rsid w:val="00ED30E4"/>
    <w:rsid w:val="00ED6544"/>
    <w:rsid w:val="00EE0277"/>
    <w:rsid w:val="00EE3E00"/>
    <w:rsid w:val="00EE4426"/>
    <w:rsid w:val="00EE5DD2"/>
    <w:rsid w:val="00EE619E"/>
    <w:rsid w:val="00EE76FA"/>
    <w:rsid w:val="00EF0A2E"/>
    <w:rsid w:val="00EF1C05"/>
    <w:rsid w:val="00EF63C2"/>
    <w:rsid w:val="00EF65BA"/>
    <w:rsid w:val="00F003E9"/>
    <w:rsid w:val="00F00A79"/>
    <w:rsid w:val="00F00E86"/>
    <w:rsid w:val="00F033B4"/>
    <w:rsid w:val="00F035D0"/>
    <w:rsid w:val="00F03ECC"/>
    <w:rsid w:val="00F05545"/>
    <w:rsid w:val="00F07C1E"/>
    <w:rsid w:val="00F105DB"/>
    <w:rsid w:val="00F112C5"/>
    <w:rsid w:val="00F11C57"/>
    <w:rsid w:val="00F132BC"/>
    <w:rsid w:val="00F13D80"/>
    <w:rsid w:val="00F13FAF"/>
    <w:rsid w:val="00F14467"/>
    <w:rsid w:val="00F16AAA"/>
    <w:rsid w:val="00F21161"/>
    <w:rsid w:val="00F218EF"/>
    <w:rsid w:val="00F21BC7"/>
    <w:rsid w:val="00F2242E"/>
    <w:rsid w:val="00F234F9"/>
    <w:rsid w:val="00F23B2E"/>
    <w:rsid w:val="00F2641C"/>
    <w:rsid w:val="00F266A2"/>
    <w:rsid w:val="00F2703D"/>
    <w:rsid w:val="00F31AEB"/>
    <w:rsid w:val="00F32269"/>
    <w:rsid w:val="00F32FEB"/>
    <w:rsid w:val="00F3469D"/>
    <w:rsid w:val="00F369FB"/>
    <w:rsid w:val="00F373C3"/>
    <w:rsid w:val="00F40926"/>
    <w:rsid w:val="00F41942"/>
    <w:rsid w:val="00F44195"/>
    <w:rsid w:val="00F464FC"/>
    <w:rsid w:val="00F4704E"/>
    <w:rsid w:val="00F50273"/>
    <w:rsid w:val="00F50C58"/>
    <w:rsid w:val="00F5112E"/>
    <w:rsid w:val="00F51D24"/>
    <w:rsid w:val="00F53761"/>
    <w:rsid w:val="00F56A6F"/>
    <w:rsid w:val="00F5709C"/>
    <w:rsid w:val="00F57EA1"/>
    <w:rsid w:val="00F61C56"/>
    <w:rsid w:val="00F64EF1"/>
    <w:rsid w:val="00F653EB"/>
    <w:rsid w:val="00F703F6"/>
    <w:rsid w:val="00F70EE9"/>
    <w:rsid w:val="00F76228"/>
    <w:rsid w:val="00F85095"/>
    <w:rsid w:val="00F85750"/>
    <w:rsid w:val="00F8765F"/>
    <w:rsid w:val="00F8794E"/>
    <w:rsid w:val="00F90767"/>
    <w:rsid w:val="00F91ACE"/>
    <w:rsid w:val="00F94B69"/>
    <w:rsid w:val="00F95426"/>
    <w:rsid w:val="00F95C11"/>
    <w:rsid w:val="00F97403"/>
    <w:rsid w:val="00F9775A"/>
    <w:rsid w:val="00FA0949"/>
    <w:rsid w:val="00FA1611"/>
    <w:rsid w:val="00FA25CA"/>
    <w:rsid w:val="00FA282C"/>
    <w:rsid w:val="00FA3C96"/>
    <w:rsid w:val="00FA685B"/>
    <w:rsid w:val="00FB0B3B"/>
    <w:rsid w:val="00FB0C01"/>
    <w:rsid w:val="00FB2B45"/>
    <w:rsid w:val="00FB304F"/>
    <w:rsid w:val="00FB648D"/>
    <w:rsid w:val="00FC0292"/>
    <w:rsid w:val="00FC18F2"/>
    <w:rsid w:val="00FC2821"/>
    <w:rsid w:val="00FC39E5"/>
    <w:rsid w:val="00FC3A78"/>
    <w:rsid w:val="00FC3FB2"/>
    <w:rsid w:val="00FC6B4B"/>
    <w:rsid w:val="00FD044C"/>
    <w:rsid w:val="00FD0BA7"/>
    <w:rsid w:val="00FD1005"/>
    <w:rsid w:val="00FD4672"/>
    <w:rsid w:val="00FD57C9"/>
    <w:rsid w:val="00FD5BF2"/>
    <w:rsid w:val="00FD5DCD"/>
    <w:rsid w:val="00FD68F2"/>
    <w:rsid w:val="00FD6C75"/>
    <w:rsid w:val="00FE17AE"/>
    <w:rsid w:val="00FE6E15"/>
    <w:rsid w:val="00FE71B3"/>
    <w:rsid w:val="00FE7D9C"/>
    <w:rsid w:val="00FF0A10"/>
    <w:rsid w:val="00FF245F"/>
    <w:rsid w:val="00FF3387"/>
    <w:rsid w:val="00FF42C5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0142AB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142A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142A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142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142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0142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142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0142AB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0142AB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0142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42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2AB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0142A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0142A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0142AB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0142A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0142AB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142AB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142A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0142AB"/>
  </w:style>
  <w:style w:type="paragraph" w:customStyle="1" w:styleId="DecList">
    <w:name w:val="Dec_List"/>
    <w:basedOn w:val="Normale"/>
    <w:uiPriority w:val="9"/>
    <w:semiHidden/>
    <w:qFormat/>
    <w:rsid w:val="000142AB"/>
    <w:pPr>
      <w:spacing w:before="240"/>
      <w:ind w:left="284"/>
    </w:pPr>
  </w:style>
  <w:style w:type="paragraph" w:customStyle="1" w:styleId="DummyStyle">
    <w:name w:val="Dummy_Style"/>
    <w:basedOn w:val="Normale"/>
    <w:semiHidden/>
    <w:qFormat/>
    <w:rsid w:val="000142AB"/>
    <w:rPr>
      <w:color w:val="00B050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0142A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0142A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e"/>
    <w:uiPriority w:val="5"/>
    <w:semiHidden/>
    <w:qFormat/>
    <w:rsid w:val="000142AB"/>
    <w:pPr>
      <w:numPr>
        <w:numId w:val="17"/>
      </w:numPr>
      <w:jc w:val="left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0142A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0142AB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0142AB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Listi">
    <w:name w:val="Ju_List_i"/>
    <w:basedOn w:val="Normale"/>
    <w:next w:val="JuLista"/>
    <w:uiPriority w:val="28"/>
    <w:qFormat/>
    <w:rsid w:val="000142AB"/>
    <w:pPr>
      <w:ind w:left="794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0142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0142A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0142A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0142A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0142A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0142A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0142AB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QuotSub">
    <w:name w:val="Ju_Quot_Sub"/>
    <w:basedOn w:val="ECHRParaQuote"/>
    <w:uiPriority w:val="15"/>
    <w:qFormat/>
    <w:rsid w:val="000142AB"/>
    <w:pPr>
      <w:ind w:left="567"/>
    </w:pPr>
  </w:style>
  <w:style w:type="character" w:customStyle="1" w:styleId="JUNAMES">
    <w:name w:val="JU_NAMES"/>
    <w:uiPriority w:val="17"/>
    <w:qFormat/>
    <w:rsid w:val="000142AB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0142AB"/>
    <w:pPr>
      <w:ind w:left="284"/>
    </w:pPr>
  </w:style>
  <w:style w:type="paragraph" w:styleId="Intestazione">
    <w:name w:val="header"/>
    <w:basedOn w:val="Normale"/>
    <w:link w:val="IntestazioneCarattere"/>
    <w:uiPriority w:val="57"/>
    <w:semiHidden/>
    <w:rsid w:val="000142A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142AB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142A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0142A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0142A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142A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Title">
    <w:name w:val="Ju_Title"/>
    <w:basedOn w:val="Normale"/>
    <w:next w:val="ECHRPara"/>
    <w:uiPriority w:val="3"/>
    <w:semiHidden/>
    <w:qFormat/>
    <w:rsid w:val="000142A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0142AB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142A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0142AB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142A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142AB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0142AB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0142A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0142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142A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142AB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0142A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142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2AB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142A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142A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142A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142A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142A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0142A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0142A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0142A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0142A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0142A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0142AB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0142A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0142AB"/>
    <w:rPr>
      <w:smallCaps/>
    </w:rPr>
  </w:style>
  <w:style w:type="table" w:styleId="Grigliatabella">
    <w:name w:val="Table Grid"/>
    <w:basedOn w:val="Tabellanormale"/>
    <w:uiPriority w:val="59"/>
    <w:semiHidden/>
    <w:rsid w:val="000142A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142A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0142A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0142A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0142A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142A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e"/>
    <w:uiPriority w:val="14"/>
    <w:qFormat/>
    <w:rsid w:val="000142AB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142A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0142A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0142AB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0142AB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0142AB"/>
    <w:pPr>
      <w:ind w:left="340" w:hanging="340"/>
    </w:pPr>
  </w:style>
  <w:style w:type="paragraph" w:customStyle="1" w:styleId="OpiH1">
    <w:name w:val="Opi_H_1"/>
    <w:basedOn w:val="ECHRHeading2"/>
    <w:uiPriority w:val="42"/>
    <w:qFormat/>
    <w:rsid w:val="000142AB"/>
    <w:pPr>
      <w:ind w:left="635" w:hanging="357"/>
      <w:outlineLvl w:val="2"/>
    </w:p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0142AB"/>
    <w:pPr>
      <w:ind w:left="346" w:firstLine="0"/>
    </w:pPr>
  </w:style>
  <w:style w:type="paragraph" w:customStyle="1" w:styleId="OpiHa">
    <w:name w:val="Opi_H_a"/>
    <w:basedOn w:val="ECHRHeading3"/>
    <w:uiPriority w:val="43"/>
    <w:qFormat/>
    <w:rsid w:val="000142AB"/>
    <w:pPr>
      <w:ind w:left="833" w:hanging="357"/>
      <w:outlineLvl w:val="3"/>
    </w:pPr>
    <w:rPr>
      <w:b/>
      <w:i w:val="0"/>
      <w:sz w:val="20"/>
    </w:r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0142A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142A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142AB"/>
    <w:rPr>
      <w:rFonts w:eastAsiaTheme="minorEastAsia"/>
      <w:sz w:val="20"/>
      <w:szCs w:val="20"/>
      <w:lang w:val="en-GB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OpiHA0">
    <w:name w:val="Opi_H_A"/>
    <w:basedOn w:val="ECHRHeading1"/>
    <w:next w:val="OpiPara"/>
    <w:uiPriority w:val="41"/>
    <w:qFormat/>
    <w:rsid w:val="000142AB"/>
    <w:pPr>
      <w:tabs>
        <w:tab w:val="clear" w:pos="357"/>
      </w:tabs>
      <w:outlineLvl w:val="1"/>
    </w:pPr>
    <w:rPr>
      <w:b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Carpredefinitoparagrafo"/>
    <w:uiPriority w:val="38"/>
    <w:qFormat/>
    <w:rsid w:val="000142A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0142A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0142A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0142A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0142AB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0142AB"/>
  </w:style>
  <w:style w:type="paragraph" w:customStyle="1" w:styleId="OpiParaSub">
    <w:name w:val="Opi_Para_Sub"/>
    <w:basedOn w:val="JuParaSub"/>
    <w:uiPriority w:val="47"/>
    <w:qFormat/>
    <w:rsid w:val="000142AB"/>
  </w:style>
  <w:style w:type="paragraph" w:customStyle="1" w:styleId="OpiQuot">
    <w:name w:val="Opi_Quot"/>
    <w:basedOn w:val="ECHRParaQuote"/>
    <w:uiPriority w:val="48"/>
    <w:qFormat/>
    <w:rsid w:val="000142AB"/>
  </w:style>
  <w:style w:type="paragraph" w:customStyle="1" w:styleId="OpiQuotSub">
    <w:name w:val="Opi_Quot_Sub"/>
    <w:basedOn w:val="JuQuotSub"/>
    <w:uiPriority w:val="49"/>
    <w:qFormat/>
    <w:rsid w:val="000142AB"/>
  </w:style>
  <w:style w:type="paragraph" w:customStyle="1" w:styleId="OpiTranslation">
    <w:name w:val="Opi_Translation"/>
    <w:basedOn w:val="Normale"/>
    <w:next w:val="OpiPara"/>
    <w:uiPriority w:val="40"/>
    <w:qFormat/>
    <w:rsid w:val="000142AB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0142A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e"/>
    <w:uiPriority w:val="45"/>
    <w:rsid w:val="00AA755B"/>
    <w:pPr>
      <w:jc w:val="left"/>
    </w:pPr>
    <w:rPr>
      <w:rFonts w:eastAsiaTheme="minorHAnsi"/>
      <w:sz w:val="4"/>
    </w:rPr>
  </w:style>
  <w:style w:type="character" w:customStyle="1" w:styleId="ECHRParaChar">
    <w:name w:val="ECHR_Para Char"/>
    <w:aliases w:val="Ju_Para Char"/>
    <w:link w:val="ECHRPara"/>
    <w:uiPriority w:val="12"/>
    <w:rsid w:val="00FB0B3B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0142AB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142A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142A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142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142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0142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142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0142AB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0142AB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0142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42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2AB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0142A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0142A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0142AB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0142A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0142AB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142AB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142A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0142AB"/>
  </w:style>
  <w:style w:type="paragraph" w:customStyle="1" w:styleId="DecList">
    <w:name w:val="Dec_List"/>
    <w:basedOn w:val="Normale"/>
    <w:uiPriority w:val="9"/>
    <w:semiHidden/>
    <w:qFormat/>
    <w:rsid w:val="000142AB"/>
    <w:pPr>
      <w:spacing w:before="240"/>
      <w:ind w:left="284"/>
    </w:pPr>
  </w:style>
  <w:style w:type="paragraph" w:customStyle="1" w:styleId="DummyStyle">
    <w:name w:val="Dummy_Style"/>
    <w:basedOn w:val="Normale"/>
    <w:semiHidden/>
    <w:qFormat/>
    <w:rsid w:val="000142AB"/>
    <w:rPr>
      <w:color w:val="00B050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0142A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0142A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e"/>
    <w:uiPriority w:val="5"/>
    <w:semiHidden/>
    <w:qFormat/>
    <w:rsid w:val="000142AB"/>
    <w:pPr>
      <w:numPr>
        <w:numId w:val="17"/>
      </w:numPr>
      <w:jc w:val="left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0142A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0142AB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0142AB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Listi">
    <w:name w:val="Ju_List_i"/>
    <w:basedOn w:val="Normale"/>
    <w:next w:val="JuLista"/>
    <w:uiPriority w:val="28"/>
    <w:qFormat/>
    <w:rsid w:val="000142AB"/>
    <w:pPr>
      <w:ind w:left="794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0142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0142A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0142A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0142A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0142A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0142A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0142AB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QuotSub">
    <w:name w:val="Ju_Quot_Sub"/>
    <w:basedOn w:val="ECHRParaQuote"/>
    <w:uiPriority w:val="15"/>
    <w:qFormat/>
    <w:rsid w:val="000142AB"/>
    <w:pPr>
      <w:ind w:left="567"/>
    </w:pPr>
  </w:style>
  <w:style w:type="character" w:customStyle="1" w:styleId="JUNAMES">
    <w:name w:val="JU_NAMES"/>
    <w:uiPriority w:val="17"/>
    <w:qFormat/>
    <w:rsid w:val="000142AB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0142AB"/>
    <w:pPr>
      <w:ind w:left="284"/>
    </w:pPr>
  </w:style>
  <w:style w:type="paragraph" w:styleId="Intestazione">
    <w:name w:val="header"/>
    <w:basedOn w:val="Normale"/>
    <w:link w:val="IntestazioneCarattere"/>
    <w:uiPriority w:val="57"/>
    <w:semiHidden/>
    <w:rsid w:val="000142A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142AB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142A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0142A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0142A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142A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Title">
    <w:name w:val="Ju_Title"/>
    <w:basedOn w:val="Normale"/>
    <w:next w:val="ECHRPara"/>
    <w:uiPriority w:val="3"/>
    <w:semiHidden/>
    <w:qFormat/>
    <w:rsid w:val="000142A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0142AB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142A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0142AB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142A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142AB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0142AB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0142A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0142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142A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142AB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0142A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142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2AB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142A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142A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142A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142A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142A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0142A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0142A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0142A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0142A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0142A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0142AB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0142A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0142AB"/>
    <w:rPr>
      <w:smallCaps/>
    </w:rPr>
  </w:style>
  <w:style w:type="table" w:styleId="Grigliatabella">
    <w:name w:val="Table Grid"/>
    <w:basedOn w:val="Tabellanormale"/>
    <w:uiPriority w:val="59"/>
    <w:semiHidden/>
    <w:rsid w:val="000142A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142A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0142A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0142A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0142A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142A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e"/>
    <w:uiPriority w:val="14"/>
    <w:qFormat/>
    <w:rsid w:val="000142AB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142A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0142A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0142AB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0142AB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0142AB"/>
    <w:pPr>
      <w:ind w:left="340" w:hanging="340"/>
    </w:pPr>
  </w:style>
  <w:style w:type="paragraph" w:customStyle="1" w:styleId="OpiH1">
    <w:name w:val="Opi_H_1"/>
    <w:basedOn w:val="ECHRHeading2"/>
    <w:uiPriority w:val="42"/>
    <w:qFormat/>
    <w:rsid w:val="000142AB"/>
    <w:pPr>
      <w:ind w:left="635" w:hanging="357"/>
      <w:outlineLvl w:val="2"/>
    </w:p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0142AB"/>
    <w:pPr>
      <w:ind w:left="346" w:firstLine="0"/>
    </w:pPr>
  </w:style>
  <w:style w:type="paragraph" w:customStyle="1" w:styleId="OpiHa">
    <w:name w:val="Opi_H_a"/>
    <w:basedOn w:val="ECHRHeading3"/>
    <w:uiPriority w:val="43"/>
    <w:qFormat/>
    <w:rsid w:val="000142AB"/>
    <w:pPr>
      <w:ind w:left="833" w:hanging="357"/>
      <w:outlineLvl w:val="3"/>
    </w:pPr>
    <w:rPr>
      <w:b/>
      <w:i w:val="0"/>
      <w:sz w:val="20"/>
    </w:r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0142A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142A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142AB"/>
    <w:rPr>
      <w:rFonts w:eastAsiaTheme="minorEastAsia"/>
      <w:sz w:val="20"/>
      <w:szCs w:val="20"/>
      <w:lang w:val="en-GB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OpiHA0">
    <w:name w:val="Opi_H_A"/>
    <w:basedOn w:val="ECHRHeading1"/>
    <w:next w:val="OpiPara"/>
    <w:uiPriority w:val="41"/>
    <w:qFormat/>
    <w:rsid w:val="000142AB"/>
    <w:pPr>
      <w:tabs>
        <w:tab w:val="clear" w:pos="357"/>
      </w:tabs>
      <w:outlineLvl w:val="1"/>
    </w:pPr>
    <w:rPr>
      <w:b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Carpredefinitoparagrafo"/>
    <w:uiPriority w:val="38"/>
    <w:qFormat/>
    <w:rsid w:val="000142A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0142A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0142A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0142A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0142A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0142AB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0142AB"/>
  </w:style>
  <w:style w:type="paragraph" w:customStyle="1" w:styleId="OpiParaSub">
    <w:name w:val="Opi_Para_Sub"/>
    <w:basedOn w:val="JuParaSub"/>
    <w:uiPriority w:val="47"/>
    <w:qFormat/>
    <w:rsid w:val="000142AB"/>
  </w:style>
  <w:style w:type="paragraph" w:customStyle="1" w:styleId="OpiQuot">
    <w:name w:val="Opi_Quot"/>
    <w:basedOn w:val="ECHRParaQuote"/>
    <w:uiPriority w:val="48"/>
    <w:qFormat/>
    <w:rsid w:val="000142AB"/>
  </w:style>
  <w:style w:type="paragraph" w:customStyle="1" w:styleId="OpiQuotSub">
    <w:name w:val="Opi_Quot_Sub"/>
    <w:basedOn w:val="JuQuotSub"/>
    <w:uiPriority w:val="49"/>
    <w:qFormat/>
    <w:rsid w:val="000142AB"/>
  </w:style>
  <w:style w:type="paragraph" w:customStyle="1" w:styleId="OpiTranslation">
    <w:name w:val="Opi_Translation"/>
    <w:basedOn w:val="Normale"/>
    <w:next w:val="OpiPara"/>
    <w:uiPriority w:val="40"/>
    <w:qFormat/>
    <w:rsid w:val="000142AB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0142A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e"/>
    <w:uiPriority w:val="45"/>
    <w:rsid w:val="00AA755B"/>
    <w:pPr>
      <w:jc w:val="left"/>
    </w:pPr>
    <w:rPr>
      <w:rFonts w:eastAsiaTheme="minorHAnsi"/>
      <w:sz w:val="4"/>
    </w:rPr>
  </w:style>
  <w:style w:type="character" w:customStyle="1" w:styleId="ECHRParaChar">
    <w:name w:val="ECHR_Para Char"/>
    <w:aliases w:val="Ju_Para Char"/>
    <w:link w:val="ECHRPara"/>
    <w:uiPriority w:val="12"/>
    <w:rsid w:val="00FB0B3B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519F-D853-4296-8C5E-A9C89FC83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C5BD7-8948-4BDC-8970-67D78A844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C1CE6-C0C4-4E75-AFB4-7C635C2B4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D6166-B5E7-4926-A9C4-7B563F23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5582</Words>
  <Characters>31818</Characters>
  <Application>Microsoft Office Word</Application>
  <DocSecurity>0</DocSecurity>
  <Lines>265</Lines>
  <Paragraphs>74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2019-02-25T10:53:00Z</dcterms:created>
  <dcterms:modified xsi:type="dcterms:W3CDTF">2019-02-25T10:53:00Z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67944/13</vt:lpwstr>
  </property>
  <property fmtid="{D5CDD505-2E9C-101B-9397-08002B2CF9AE}" pid="4" name="CASEID">
    <vt:lpwstr>918690</vt:lpwstr>
  </property>
  <property fmtid="{D5CDD505-2E9C-101B-9397-08002B2CF9AE}" pid="5" name="ContentTypeId">
    <vt:lpwstr>0x010100558EB02BDB9E204AB350EDD385B68E10</vt:lpwstr>
  </property>
</Properties>
</file>